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color w:val="17365D"/>
          <w:sz w:val="38"/>
        </w:rPr>
        <w:t>CAREER AUDIT &amp; JOB ALIGNMENT REPORT</w:t>
      </w:r>
    </w:p>
    <w:p>
      <w:pPr>
        <w:spacing w:after="120"/>
        <w:jc w:val="center"/>
        <w:pBdr>
          <w:bottom w:val="single" w:sz="10" w:space="1" w:color="1F4E79"/>
        </w:pBdr>
      </w:pPr>
      <w:r>
        <w:rPr>
          <w:color w:val="44546A"/>
          <w:sz w:val="20"/>
        </w:rPr>
        <w:t>Atut Gorkhali | CV positioning, current vacancy screen, LinkedIn and website recommendations | 17 October 2026</w:t>
      </w:r>
    </w:p>
    <w:p>
      <w:pPr>
        <w:pStyle w:val="Heading1"/>
      </w:pPr>
      <w:r>
        <w:t>Executive recommendation</w:t>
      </w:r>
    </w:p>
    <w:p>
      <w:pPr>
        <w:keepLines/>
        <w:spacing w:after="44"/>
      </w:pPr>
      <w:r>
        <w:rPr>
          <w:i w:val="0"/>
        </w:rPr>
        <w:t>Position Atut as a technically grounded software delivery professional whose career progressed from C#/.NET development to business/system analysis and then Agile project management and release coordination. This is a coherent and differentiating narrative for Technical Project Manager, Agile Project Manager, and Delivery Lead roles. Use “10+ years across software development, systems analysis, and delivery” while stating “nearly five years in project management” only where the distinction matters. Do not use “10+ years as a Project Manager.”</w:t>
      </w:r>
    </w:p>
    <w:p>
      <w:pPr>
        <w:keepLines/>
        <w:spacing w:after="44"/>
      </w:pPr>
      <w:r>
        <w:rPr>
          <w:i w:val="0"/>
        </w:rPr>
        <w:t>Recommended priority: (1) Technical Project Manager roles emphasizing SDLC, requirements, cross-functional execution, risk/dependency control, and releases; (2) Agile Project Manager roles valuing Scrum/Kanban facilitation, flow metrics and continuous improvement; (3) Delivery Lead roles bridging requirements, QA, release readiness, and delivery reporting. Deprioritize roles that require proven budget ownership, vendor/contract accountability, direct cloud/AI delivery expertise, or formal portfolio ownership unless additional evidence is confirmed.</w:t>
      </w:r>
    </w:p>
    <w:p>
      <w:pPr>
        <w:pStyle w:val="Heading1"/>
      </w:pPr>
      <w:r>
        <w:t>1. Source audit and career chronology</w:t>
      </w:r>
    </w:p>
    <w:p>
      <w:pPr>
        <w:keepLines/>
        <w:spacing w:after="44"/>
      </w:pPr>
      <w:r>
        <w:rPr>
          <w:i w:val="0"/>
        </w:rPr>
        <w:t>The supplied CV and LinkedIn export disagreed on the Project Manager II start, PM I tenure, and the Cotiviti/Infinite transition. Your clarification resolves the working chronology as: Associate Project Manager (Dec 2021-Mar 2023); Project Manager I (Mar 2023-Jul 2025); Project Manager II (Jul 2025-present). Employment was continuous, with the transition from Cotiviti Nepal to Infinite Computer Solutions effective 16 February 2024. I have not described the legal form of the corporate/employment transaction because that was not independently verified.</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shd w:fill="17365D"/>
            <w:tcMar>
              <w:top w:w="80" w:type="dxa"/>
              <w:start w:w="100" w:type="dxa"/>
              <w:bottom w:w="80" w:type="dxa"/>
              <w:end w:w="100" w:type="dxa"/>
            </w:tcMar>
            <w:vAlign w:val="center"/>
          </w:tcPr>
          <w:p>
            <w:pPr>
              <w:spacing w:after="0"/>
            </w:pPr>
            <w:r>
              <w:rPr>
                <w:b/>
                <w:color w:val="FFFFFF"/>
                <w:sz w:val="16"/>
              </w:rPr>
              <w:t>Issue</w:t>
            </w:r>
          </w:p>
        </w:tc>
        <w:tc>
          <w:tcPr>
            <w:tcW w:type="dxa" w:w="3389"/>
            <w:shd w:fill="17365D"/>
            <w:tcMar>
              <w:top w:w="80" w:type="dxa"/>
              <w:start w:w="100" w:type="dxa"/>
              <w:bottom w:w="80" w:type="dxa"/>
              <w:end w:w="100" w:type="dxa"/>
            </w:tcMar>
            <w:vAlign w:val="center"/>
          </w:tcPr>
          <w:p>
            <w:pPr>
              <w:spacing w:after="0"/>
            </w:pPr>
            <w:r>
              <w:rPr>
                <w:b/>
                <w:color w:val="FFFFFF"/>
                <w:sz w:val="16"/>
              </w:rPr>
              <w:t>Resolution used</w:t>
            </w:r>
          </w:p>
        </w:tc>
        <w:tc>
          <w:tcPr>
            <w:tcW w:type="dxa" w:w="3389"/>
            <w:shd w:fill="17365D"/>
            <w:tcMar>
              <w:top w:w="80" w:type="dxa"/>
              <w:start w:w="100" w:type="dxa"/>
              <w:bottom w:w="80" w:type="dxa"/>
              <w:end w:w="100" w:type="dxa"/>
            </w:tcMar>
            <w:vAlign w:val="center"/>
          </w:tcPr>
          <w:p>
            <w:pPr>
              <w:spacing w:after="0"/>
            </w:pPr>
            <w:r>
              <w:rPr>
                <w:b/>
                <w:color w:val="FFFFFF"/>
                <w:sz w:val="16"/>
              </w:rPr>
              <w:t>Remaining caveat</w:t>
            </w:r>
          </w:p>
        </w:tc>
      </w:tr>
      <w:tr>
        <w:trPr>
          <w:cantSplit/>
        </w:trPr>
        <w:tc>
          <w:tcPr>
            <w:tcW w:type="dxa" w:w="1944"/>
            <w:tcMar>
              <w:top w:w="70" w:type="dxa"/>
              <w:start w:w="100" w:type="dxa"/>
              <w:bottom w:w="70" w:type="dxa"/>
              <w:end w:w="100" w:type="dxa"/>
            </w:tcMar>
            <w:vAlign w:val="top"/>
          </w:tcPr>
          <w:p>
            <w:pPr>
              <w:spacing w:after="0" w:line="240" w:lineRule="auto"/>
            </w:pPr>
            <w:r>
              <w:rPr>
                <w:sz w:val="16"/>
              </w:rPr>
              <w:t>PM role dates</w:t>
            </w:r>
          </w:p>
        </w:tc>
        <w:tc>
          <w:tcPr>
            <w:tcW w:type="dxa" w:w="4392"/>
            <w:tcMar>
              <w:top w:w="70" w:type="dxa"/>
              <w:start w:w="100" w:type="dxa"/>
              <w:bottom w:w="70" w:type="dxa"/>
              <w:end w:w="100" w:type="dxa"/>
            </w:tcMar>
            <w:vAlign w:val="top"/>
          </w:tcPr>
          <w:p>
            <w:pPr>
              <w:spacing w:after="0" w:line="240" w:lineRule="auto"/>
            </w:pPr>
            <w:r>
              <w:rPr>
                <w:sz w:val="16"/>
              </w:rPr>
              <w:t>Use user-confirmed dates and continuous role progression.</w:t>
            </w:r>
          </w:p>
        </w:tc>
        <w:tc>
          <w:tcPr>
            <w:tcW w:type="dxa" w:w="4176"/>
            <w:tcMar>
              <w:top w:w="70" w:type="dxa"/>
              <w:start w:w="100" w:type="dxa"/>
              <w:bottom w:w="70" w:type="dxa"/>
              <w:end w:w="100" w:type="dxa"/>
            </w:tcMar>
            <w:vAlign w:val="top"/>
          </w:tcPr>
          <w:p>
            <w:pPr>
              <w:spacing w:after="0" w:line="240" w:lineRule="auto"/>
            </w:pPr>
            <w:r>
              <w:rPr>
                <w:sz w:val="16"/>
              </w:rPr>
              <w:t>None for the dates supplied by user.</w:t>
            </w:r>
          </w:p>
        </w:tc>
      </w:tr>
      <w:tr>
        <w:trPr>
          <w:cantSplit/>
        </w:trPr>
        <w:tc>
          <w:tcPr>
            <w:tcW w:type="dxa" w:w="1944"/>
            <w:tcMar>
              <w:top w:w="70" w:type="dxa"/>
              <w:start w:w="100" w:type="dxa"/>
              <w:bottom w:w="70" w:type="dxa"/>
              <w:end w:w="100" w:type="dxa"/>
            </w:tcMar>
            <w:vAlign w:val="top"/>
            <w:shd w:fill="F6F8FB"/>
          </w:tcPr>
          <w:p>
            <w:pPr>
              <w:spacing w:after="0" w:line="240" w:lineRule="auto"/>
            </w:pPr>
            <w:r>
              <w:rPr>
                <w:sz w:val="16"/>
              </w:rPr>
              <w:t>Cotiviti / Infinite</w:t>
            </w:r>
          </w:p>
        </w:tc>
        <w:tc>
          <w:tcPr>
            <w:tcW w:type="dxa" w:w="4392"/>
            <w:tcMar>
              <w:top w:w="70" w:type="dxa"/>
              <w:start w:w="100" w:type="dxa"/>
              <w:bottom w:w="70" w:type="dxa"/>
              <w:end w:w="100" w:type="dxa"/>
            </w:tcMar>
            <w:vAlign w:val="top"/>
            <w:shd w:fill="F6F8FB"/>
          </w:tcPr>
          <w:p>
            <w:pPr>
              <w:spacing w:after="0" w:line="240" w:lineRule="auto"/>
            </w:pPr>
            <w:r>
              <w:rPr>
                <w:sz w:val="16"/>
              </w:rPr>
              <w:t>Use combined employer heading and explicit transition note dated 16 Feb 2024.</w:t>
            </w:r>
          </w:p>
        </w:tc>
        <w:tc>
          <w:tcPr>
            <w:tcW w:type="dxa" w:w="4176"/>
            <w:tcMar>
              <w:top w:w="70" w:type="dxa"/>
              <w:start w:w="100" w:type="dxa"/>
              <w:bottom w:w="70" w:type="dxa"/>
              <w:end w:w="100" w:type="dxa"/>
            </w:tcMar>
            <w:vAlign w:val="top"/>
            <w:shd w:fill="F6F8FB"/>
          </w:tcPr>
          <w:p>
            <w:pPr>
              <w:spacing w:after="0" w:line="240" w:lineRule="auto"/>
            </w:pPr>
            <w:r>
              <w:rPr>
                <w:sz w:val="16"/>
              </w:rPr>
              <w:t>Avoid terms such as acquisition, merger or rebrand unless legally confirmed.</w:t>
            </w:r>
          </w:p>
        </w:tc>
      </w:tr>
      <w:tr>
        <w:trPr>
          <w:cantSplit/>
        </w:trPr>
        <w:tc>
          <w:tcPr>
            <w:tcW w:type="dxa" w:w="1944"/>
            <w:tcMar>
              <w:top w:w="70" w:type="dxa"/>
              <w:start w:w="100" w:type="dxa"/>
              <w:bottom w:w="70" w:type="dxa"/>
              <w:end w:w="100" w:type="dxa"/>
            </w:tcMar>
            <w:vAlign w:val="top"/>
          </w:tcPr>
          <w:p>
            <w:pPr>
              <w:spacing w:after="0" w:line="240" w:lineRule="auto"/>
            </w:pPr>
            <w:r>
              <w:rPr>
                <w:sz w:val="16"/>
              </w:rPr>
              <w:t>Total experience</w:t>
            </w:r>
          </w:p>
        </w:tc>
        <w:tc>
          <w:tcPr>
            <w:tcW w:type="dxa" w:w="4392"/>
            <w:tcMar>
              <w:top w:w="70" w:type="dxa"/>
              <w:start w:w="100" w:type="dxa"/>
              <w:bottom w:w="70" w:type="dxa"/>
              <w:end w:w="100" w:type="dxa"/>
            </w:tcMar>
            <w:vAlign w:val="top"/>
          </w:tcPr>
          <w:p>
            <w:pPr>
              <w:spacing w:after="0" w:line="240" w:lineRule="auto"/>
            </w:pPr>
            <w:r>
              <w:rPr>
                <w:sz w:val="16"/>
              </w:rPr>
              <w:t>10+ years across software development, analysis and delivery based on 2016 start.</w:t>
            </w:r>
          </w:p>
        </w:tc>
        <w:tc>
          <w:tcPr>
            <w:tcW w:type="dxa" w:w="4176"/>
            <w:tcMar>
              <w:top w:w="70" w:type="dxa"/>
              <w:start w:w="100" w:type="dxa"/>
              <w:bottom w:w="70" w:type="dxa"/>
              <w:end w:w="100" w:type="dxa"/>
            </w:tcMar>
            <w:vAlign w:val="top"/>
          </w:tcPr>
          <w:p>
            <w:pPr>
              <w:spacing w:after="0" w:line="240" w:lineRule="auto"/>
            </w:pPr>
            <w:r>
              <w:rPr>
                <w:sz w:val="16"/>
              </w:rPr>
              <w:t>Exact start month varies in source materials; year-range wording is sufficient.</w:t>
            </w:r>
          </w:p>
        </w:tc>
      </w:tr>
      <w:tr>
        <w:trPr>
          <w:cantSplit/>
        </w:trPr>
        <w:tc>
          <w:tcPr>
            <w:tcW w:type="dxa" w:w="1944"/>
            <w:tcMar>
              <w:top w:w="70" w:type="dxa"/>
              <w:start w:w="100" w:type="dxa"/>
              <w:bottom w:w="70" w:type="dxa"/>
              <w:end w:w="100" w:type="dxa"/>
            </w:tcMar>
            <w:vAlign w:val="top"/>
            <w:shd w:fill="F6F8FB"/>
          </w:tcPr>
          <w:p>
            <w:pPr>
              <w:spacing w:after="0" w:line="240" w:lineRule="auto"/>
            </w:pPr>
            <w:r>
              <w:rPr>
                <w:sz w:val="16"/>
              </w:rPr>
              <w:t>Project management duration</w:t>
            </w:r>
          </w:p>
        </w:tc>
        <w:tc>
          <w:tcPr>
            <w:tcW w:type="dxa" w:w="4392"/>
            <w:tcMar>
              <w:top w:w="70" w:type="dxa"/>
              <w:start w:w="100" w:type="dxa"/>
              <w:bottom w:w="70" w:type="dxa"/>
              <w:end w:w="100" w:type="dxa"/>
            </w:tcMar>
            <w:vAlign w:val="top"/>
            <w:shd w:fill="F6F8FB"/>
          </w:tcPr>
          <w:p>
            <w:pPr>
              <w:spacing w:after="0" w:line="240" w:lineRule="auto"/>
            </w:pPr>
            <w:r>
              <w:rPr>
                <w:sz w:val="16"/>
              </w:rPr>
              <w:t>Dec 2021 to Oct 2026 = approximately 4 years 10 months.</w:t>
            </w:r>
          </w:p>
        </w:tc>
        <w:tc>
          <w:tcPr>
            <w:tcW w:type="dxa" w:w="4176"/>
            <w:tcMar>
              <w:top w:w="70" w:type="dxa"/>
              <w:start w:w="100" w:type="dxa"/>
              <w:bottom w:w="70" w:type="dxa"/>
              <w:end w:w="100" w:type="dxa"/>
            </w:tcMar>
            <w:vAlign w:val="top"/>
            <w:shd w:fill="F6F8FB"/>
          </w:tcPr>
          <w:p>
            <w:pPr>
              <w:spacing w:after="0" w:line="240" w:lineRule="auto"/>
            </w:pPr>
            <w:r>
              <w:rPr>
                <w:sz w:val="16"/>
              </w:rPr>
              <w:t>Use “nearly five years” or “4+ years”, not “10 years of project management.”</w:t>
            </w:r>
          </w:p>
        </w:tc>
      </w:tr>
      <w:tr>
        <w:trPr>
          <w:cantSplit/>
        </w:trPr>
        <w:tc>
          <w:tcPr>
            <w:tcW w:type="dxa" w:w="1944"/>
            <w:tcMar>
              <w:top w:w="70" w:type="dxa"/>
              <w:start w:w="100" w:type="dxa"/>
              <w:bottom w:w="70" w:type="dxa"/>
              <w:end w:w="100" w:type="dxa"/>
            </w:tcMar>
            <w:vAlign w:val="top"/>
          </w:tcPr>
          <w:p>
            <w:pPr>
              <w:spacing w:after="0" w:line="240" w:lineRule="auto"/>
            </w:pPr>
            <w:r>
              <w:rPr>
                <w:sz w:val="16"/>
              </w:rPr>
              <w:t>Promotions</w:t>
            </w:r>
          </w:p>
        </w:tc>
        <w:tc>
          <w:tcPr>
            <w:tcW w:type="dxa" w:w="4392"/>
            <w:tcMar>
              <w:top w:w="70" w:type="dxa"/>
              <w:start w:w="100" w:type="dxa"/>
              <w:bottom w:w="70" w:type="dxa"/>
              <w:end w:w="100" w:type="dxa"/>
            </w:tcMar>
            <w:vAlign w:val="top"/>
          </w:tcPr>
          <w:p>
            <w:pPr>
              <w:spacing w:after="0" w:line="240" w:lineRule="auto"/>
            </w:pPr>
            <w:r>
              <w:rPr>
                <w:sz w:val="16"/>
              </w:rPr>
              <w:t>Associate PM -&gt; PM I -&gt; PM II; actual dates visible under experience.</w:t>
            </w:r>
          </w:p>
        </w:tc>
        <w:tc>
          <w:tcPr>
            <w:tcW w:type="dxa" w:w="4176"/>
            <w:tcMar>
              <w:top w:w="70" w:type="dxa"/>
              <w:start w:w="100" w:type="dxa"/>
              <w:bottom w:w="70" w:type="dxa"/>
              <w:end w:w="100" w:type="dxa"/>
            </w:tcMar>
            <w:vAlign w:val="top"/>
          </w:tcPr>
          <w:p>
            <w:pPr>
              <w:spacing w:after="0" w:line="240" w:lineRule="auto"/>
            </w:pPr>
            <w:r>
              <w:rPr>
                <w:sz w:val="16"/>
              </w:rPr>
              <w:t>Do not state “two promotions in under three years”; dates indicate about 3 years 7 months from Dec 2021 to Jul 2025.</w:t>
            </w:r>
          </w:p>
        </w:tc>
      </w:tr>
      <w:tr>
        <w:trPr>
          <w:cantSplit/>
        </w:trPr>
        <w:tc>
          <w:tcPr>
            <w:tcW w:type="dxa" w:w="1944"/>
            <w:tcMar>
              <w:top w:w="70" w:type="dxa"/>
              <w:start w:w="100" w:type="dxa"/>
              <w:bottom w:w="70" w:type="dxa"/>
              <w:end w:w="100" w:type="dxa"/>
            </w:tcMar>
            <w:vAlign w:val="top"/>
            <w:shd w:fill="F6F8FB"/>
          </w:tcPr>
          <w:p>
            <w:pPr>
              <w:spacing w:after="0" w:line="240" w:lineRule="auto"/>
            </w:pPr>
            <w:r>
              <w:rPr>
                <w:sz w:val="16"/>
              </w:rPr>
              <w:t>InfoDevelopers title</w:t>
            </w:r>
          </w:p>
        </w:tc>
        <w:tc>
          <w:tcPr>
            <w:tcW w:type="dxa" w:w="4392"/>
            <w:tcMar>
              <w:top w:w="70" w:type="dxa"/>
              <w:start w:w="100" w:type="dxa"/>
              <w:bottom w:w="70" w:type="dxa"/>
              <w:end w:w="100" w:type="dxa"/>
            </w:tcMar>
            <w:vAlign w:val="top"/>
            <w:shd w:fill="F6F8FB"/>
          </w:tcPr>
          <w:p>
            <w:pPr>
              <w:spacing w:after="0" w:line="240" w:lineRule="auto"/>
            </w:pPr>
            <w:r>
              <w:rPr>
                <w:sz w:val="16"/>
              </w:rPr>
              <w:t>Associate Team Lead - Planning Department (Business/System Analyst).</w:t>
            </w:r>
          </w:p>
        </w:tc>
        <w:tc>
          <w:tcPr>
            <w:tcW w:type="dxa" w:w="4176"/>
            <w:tcMar>
              <w:top w:w="70" w:type="dxa"/>
              <w:start w:w="100" w:type="dxa"/>
              <w:bottom w:w="70" w:type="dxa"/>
              <w:end w:w="100" w:type="dxa"/>
            </w:tcMar>
            <w:vAlign w:val="top"/>
            <w:shd w:fill="F6F8FB"/>
          </w:tcPr>
          <w:p>
            <w:pPr>
              <w:spacing w:after="0" w:line="240" w:lineRule="auto"/>
            </w:pPr>
            <w:r>
              <w:rPr>
                <w:sz w:val="16"/>
              </w:rPr>
              <w:t>Do not infer formal direct reports from mentoring/coordinating 10+ BAs.</w:t>
            </w:r>
          </w:p>
        </w:tc>
      </w:tr>
      <w:tr>
        <w:trPr>
          <w:cantSplit/>
        </w:trPr>
        <w:tc>
          <w:tcPr>
            <w:tcW w:type="dxa" w:w="1944"/>
            <w:tcMar>
              <w:top w:w="70" w:type="dxa"/>
              <w:start w:w="100" w:type="dxa"/>
              <w:bottom w:w="70" w:type="dxa"/>
              <w:end w:w="100" w:type="dxa"/>
            </w:tcMar>
            <w:vAlign w:val="top"/>
          </w:tcPr>
          <w:p>
            <w:pPr>
              <w:spacing w:after="0" w:line="240" w:lineRule="auto"/>
            </w:pPr>
            <w:r>
              <w:rPr>
                <w:sz w:val="16"/>
              </w:rPr>
              <w:t>Education</w:t>
            </w:r>
          </w:p>
        </w:tc>
        <w:tc>
          <w:tcPr>
            <w:tcW w:type="dxa" w:w="4392"/>
            <w:tcMar>
              <w:top w:w="70" w:type="dxa"/>
              <w:start w:w="100" w:type="dxa"/>
              <w:bottom w:w="70" w:type="dxa"/>
              <w:end w:w="100" w:type="dxa"/>
            </w:tcMar>
            <w:vAlign w:val="top"/>
          </w:tcPr>
          <w:p>
            <w:pPr>
              <w:spacing w:after="0" w:line="240" w:lineRule="auto"/>
            </w:pPr>
            <w:r>
              <w:rPr>
                <w:sz w:val="16"/>
              </w:rPr>
              <w:t>Use user-confirmed MCIS awarding university/date/GPA; BSc wording, awarding university/partner college/date/result; include HND.</w:t>
            </w:r>
          </w:p>
        </w:tc>
        <w:tc>
          <w:tcPr>
            <w:tcW w:type="dxa" w:w="4176"/>
            <w:tcMar>
              <w:top w:w="70" w:type="dxa"/>
              <w:start w:w="100" w:type="dxa"/>
              <w:bottom w:w="70" w:type="dxa"/>
              <w:end w:w="100" w:type="dxa"/>
            </w:tcMar>
            <w:vAlign w:val="top"/>
          </w:tcPr>
          <w:p>
            <w:pPr>
              <w:spacing w:after="0" w:line="240" w:lineRule="auto"/>
            </w:pPr>
            <w:r>
              <w:rPr>
                <w:sz w:val="16"/>
              </w:rPr>
              <w:t>Omit MCIS college name because source materials say Nepal College of Technology vs Nepal College of Information and Technology and give different dates.</w:t>
            </w:r>
          </w:p>
        </w:tc>
      </w:tr>
      <w:tr>
        <w:trPr>
          <w:cantSplit/>
        </w:trPr>
        <w:tc>
          <w:tcPr>
            <w:tcW w:type="dxa" w:w="1944"/>
            <w:tcMar>
              <w:top w:w="70" w:type="dxa"/>
              <w:start w:w="100" w:type="dxa"/>
              <w:bottom w:w="70" w:type="dxa"/>
              <w:end w:w="100" w:type="dxa"/>
            </w:tcMar>
            <w:vAlign w:val="top"/>
            <w:shd w:fill="F6F8FB"/>
          </w:tcPr>
          <w:p>
            <w:pPr>
              <w:spacing w:after="0" w:line="240" w:lineRule="auto"/>
            </w:pPr>
            <w:r>
              <w:rPr>
                <w:sz w:val="16"/>
              </w:rPr>
              <w:t>Kantipur ITINK</w:t>
            </w:r>
          </w:p>
        </w:tc>
        <w:tc>
          <w:tcPr>
            <w:tcW w:type="dxa" w:w="4392"/>
            <w:tcMar>
              <w:top w:w="70" w:type="dxa"/>
              <w:start w:w="100" w:type="dxa"/>
              <w:bottom w:w="70" w:type="dxa"/>
              <w:end w:w="100" w:type="dxa"/>
            </w:tcMar>
            <w:vAlign w:val="top"/>
            <w:shd w:fill="F6F8FB"/>
          </w:tcPr>
          <w:p>
            <w:pPr>
              <w:spacing w:after="0" w:line="240" w:lineRule="auto"/>
            </w:pPr>
            <w:r>
              <w:rPr>
                <w:sz w:val="16"/>
              </w:rPr>
              <w:t>Use legal name Kantipur ITINK and year-only date range 2016-2017.</w:t>
            </w:r>
          </w:p>
        </w:tc>
        <w:tc>
          <w:tcPr>
            <w:tcW w:type="dxa" w:w="4176"/>
            <w:tcMar>
              <w:top w:w="70" w:type="dxa"/>
              <w:start w:w="100" w:type="dxa"/>
              <w:bottom w:w="70" w:type="dxa"/>
              <w:end w:w="100" w:type="dxa"/>
            </w:tcMar>
            <w:vAlign w:val="top"/>
            <w:shd w:fill="F6F8FB"/>
          </w:tcPr>
          <w:p>
            <w:pPr>
              <w:spacing w:after="0" w:line="240" w:lineRule="auto"/>
            </w:pPr>
            <w:r>
              <w:rPr>
                <w:sz w:val="16"/>
              </w:rPr>
              <w:t>CV and LinkedIn conflict at month level; exact dates not supplied.</w:t>
            </w:r>
          </w:p>
        </w:tc>
      </w:tr>
      <w:tr>
        <w:trPr>
          <w:cantSplit/>
        </w:trPr>
        <w:tc>
          <w:tcPr>
            <w:tcW w:type="dxa" w:w="1944"/>
            <w:tcMar>
              <w:top w:w="70" w:type="dxa"/>
              <w:start w:w="100" w:type="dxa"/>
              <w:bottom w:w="70" w:type="dxa"/>
              <w:end w:w="100" w:type="dxa"/>
            </w:tcMar>
            <w:vAlign w:val="top"/>
          </w:tcPr>
          <w:p>
            <w:pPr>
              <w:spacing w:after="0" w:line="240" w:lineRule="auto"/>
            </w:pPr>
            <w:r>
              <w:rPr>
                <w:sz w:val="16"/>
              </w:rPr>
              <w:t>Training metrics</w:t>
            </w:r>
          </w:p>
        </w:tc>
        <w:tc>
          <w:tcPr>
            <w:tcW w:type="dxa" w:w="4392"/>
            <w:tcMar>
              <w:top w:w="70" w:type="dxa"/>
              <w:start w:w="100" w:type="dxa"/>
              <w:bottom w:w="70" w:type="dxa"/>
              <w:end w:w="100" w:type="dxa"/>
            </w:tcMar>
            <w:vAlign w:val="top"/>
          </w:tcPr>
          <w:p>
            <w:pPr>
              <w:spacing w:after="0" w:line="240" w:lineRule="auto"/>
            </w:pPr>
            <w:r>
              <w:rPr>
                <w:sz w:val="16"/>
              </w:rPr>
              <w:t>Use qualitative Agile coaching/mentoring only in base CVs.</w:t>
            </w:r>
          </w:p>
        </w:tc>
        <w:tc>
          <w:tcPr>
            <w:tcW w:type="dxa" w:w="4176"/>
            <w:tcMar>
              <w:top w:w="70" w:type="dxa"/>
              <w:start w:w="100" w:type="dxa"/>
              <w:bottom w:w="70" w:type="dxa"/>
              <w:end w:w="100" w:type="dxa"/>
            </w:tcMar>
            <w:vAlign w:val="top"/>
          </w:tcPr>
          <w:p>
            <w:pPr>
              <w:spacing w:after="0" w:line="240" w:lineRule="auto"/>
            </w:pPr>
            <w:r>
              <w:rPr>
                <w:sz w:val="16"/>
              </w:rPr>
              <w:t>The reply confirmed the release count but was ambiguous about the separate 10+ sessions / 100+ engineers metric; omit its numerical form pending explicit confirmation.</w:t>
            </w:r>
          </w:p>
        </w:tc>
      </w:tr>
      <w:tr>
        <w:trPr>
          <w:cantSplit/>
        </w:trPr>
        <w:tc>
          <w:tcPr>
            <w:tcW w:type="dxa" w:w="1944"/>
            <w:tcMar>
              <w:top w:w="70" w:type="dxa"/>
              <w:start w:w="100" w:type="dxa"/>
              <w:bottom w:w="70" w:type="dxa"/>
              <w:end w:w="100" w:type="dxa"/>
            </w:tcMar>
            <w:vAlign w:val="top"/>
            <w:shd w:fill="F6F8FB"/>
          </w:tcPr>
          <w:p>
            <w:pPr>
              <w:spacing w:after="0" w:line="240" w:lineRule="auto"/>
            </w:pPr>
            <w:r>
              <w:rPr>
                <w:sz w:val="16"/>
              </w:rPr>
              <w:t>Certificate dates/status</w:t>
            </w:r>
          </w:p>
        </w:tc>
        <w:tc>
          <w:tcPr>
            <w:tcW w:type="dxa" w:w="4392"/>
            <w:tcMar>
              <w:top w:w="70" w:type="dxa"/>
              <w:start w:w="100" w:type="dxa"/>
              <w:bottom w:w="70" w:type="dxa"/>
              <w:end w:w="100" w:type="dxa"/>
            </w:tcMar>
            <w:vAlign w:val="top"/>
            <w:shd w:fill="F6F8FB"/>
          </w:tcPr>
          <w:p>
            <w:pPr>
              <w:spacing w:after="0" w:line="240" w:lineRule="auto"/>
            </w:pPr>
            <w:r>
              <w:rPr>
                <w:sz w:val="16"/>
              </w:rPr>
              <w:t>List the four SAFe 6 credential names; use 2025-2026 only for SASM and POPM where the CV lists that period.</w:t>
            </w:r>
          </w:p>
        </w:tc>
        <w:tc>
          <w:tcPr>
            <w:tcW w:type="dxa" w:w="4176"/>
            <w:tcMar>
              <w:top w:w="70" w:type="dxa"/>
              <w:start w:w="100" w:type="dxa"/>
              <w:bottom w:w="70" w:type="dxa"/>
              <w:end w:w="100" w:type="dxa"/>
            </w:tcMar>
            <w:vAlign w:val="top"/>
            <w:shd w:fill="F6F8FB"/>
          </w:tcPr>
          <w:p>
            <w:pPr>
              <w:spacing w:after="0" w:line="240" w:lineRule="auto"/>
            </w:pPr>
            <w:r>
              <w:rPr>
                <w:sz w:val="16"/>
              </w:rPr>
              <w:t>Exact issue/renewal dates and active status could not be verified from accessible badge text.</w:t>
            </w:r>
          </w:p>
        </w:tc>
      </w:tr>
    </w:tbl>
    <w:p>
      <w:pPr>
        <w:spacing w:after="0"/>
      </w:pPr>
    </w:p>
    <w:p>
      <w:r>
        <w:br w:type="page"/>
      </w:r>
    </w:p>
    <w:p>
      <w:pPr>
        <w:pStyle w:val="Heading1"/>
      </w:pPr>
      <w:r>
        <w:t>2. Strongest genuine differentiators</w:t>
      </w:r>
    </w:p>
    <w:p>
      <w:pPr>
        <w:pStyle w:val="ListBullet"/>
        <w:keepLines/>
        <w:spacing w:after="52" w:line="254" w:lineRule="auto"/>
        <w:ind w:left="360" w:hanging="173"/>
      </w:pPr>
      <w:r>
        <w:rPr>
          <w:rFonts w:ascii="Arial" w:hAnsi="Arial"/>
          <w:sz w:val="18"/>
        </w:rPr>
        <w:t>Career progression across three disciplines: production software development, enterprise business/system analysis, and software delivery leadership. This is stronger than a generic Agile-only identity.</w:t>
      </w:r>
    </w:p>
    <w:p>
      <w:pPr>
        <w:pStyle w:val="ListBullet"/>
        <w:keepLines/>
        <w:spacing w:after="52" w:line="254" w:lineRule="auto"/>
        <w:ind w:left="360" w:hanging="173"/>
      </w:pPr>
      <w:r>
        <w:rPr>
          <w:rFonts w:ascii="Arial" w:hAnsi="Arial"/>
          <w:sz w:val="18"/>
        </w:rPr>
        <w:t>Release-management coordination that includes approvals, CAB ticket flows, go/no-go checkpoints, cross-team and support-team readiness, and playbook execution.</w:t>
      </w:r>
    </w:p>
    <w:p>
      <w:pPr>
        <w:pStyle w:val="ListBullet"/>
        <w:keepLines/>
        <w:spacing w:after="52" w:line="254" w:lineRule="auto"/>
        <w:ind w:left="360" w:hanging="173"/>
      </w:pPr>
      <w:r>
        <w:rPr>
          <w:rFonts w:ascii="Arial" w:hAnsi="Arial"/>
          <w:sz w:val="18"/>
        </w:rPr>
        <w:t>Current coordination of two concurrent Scrum/Kanban teams, with 5+ distinct teams led over the continuous 2021-present employment period.</w:t>
      </w:r>
    </w:p>
    <w:p>
      <w:pPr>
        <w:pStyle w:val="ListBullet"/>
        <w:keepLines/>
        <w:spacing w:after="52" w:line="254" w:lineRule="auto"/>
        <w:ind w:left="360" w:hanging="173"/>
      </w:pPr>
      <w:r>
        <w:rPr>
          <w:rFonts w:ascii="Arial" w:hAnsi="Arial"/>
          <w:sz w:val="18"/>
        </w:rPr>
        <w:t>Distributed delivery across the US, Nepal, and India, with visibility into risks, dependencies and delivery metrics.</w:t>
      </w:r>
    </w:p>
    <w:p>
      <w:pPr>
        <w:pStyle w:val="ListBullet"/>
        <w:keepLines/>
        <w:spacing w:after="52" w:line="254" w:lineRule="auto"/>
        <w:ind w:left="360" w:hanging="173"/>
      </w:pPr>
      <w:r>
        <w:rPr>
          <w:rFonts w:ascii="Arial" w:hAnsi="Arial"/>
          <w:sz w:val="18"/>
        </w:rPr>
        <w:t>Enterprise analysis, UAT/change management and banking/fund-domain experience, plus developer experience in ERP and third-party integrations.</w:t>
      </w:r>
    </w:p>
    <w:p>
      <w:pPr>
        <w:pStyle w:val="ListBullet"/>
        <w:keepLines/>
        <w:spacing w:after="52" w:line="254" w:lineRule="auto"/>
        <w:ind w:left="360" w:hanging="173"/>
      </w:pPr>
      <w:r>
        <w:rPr>
          <w:rFonts w:ascii="Arial" w:hAnsi="Arial"/>
          <w:sz w:val="18"/>
        </w:rPr>
        <w:t>Four SAFe 6 credentials listed through linked public badges, alongside part-time teaching in ICT Project Management and Agile methods.</w:t>
      </w:r>
    </w:p>
    <w:p>
      <w:pPr>
        <w:pStyle w:val="Heading1"/>
      </w:pPr>
      <w:r>
        <w:t>3. Current vacancy screening (checked 17 October 2026)</w:t>
      </w:r>
    </w:p>
    <w:p>
      <w:pPr>
        <w:keepLines/>
        <w:spacing w:after="44"/>
      </w:pPr>
      <w:r>
        <w:rPr>
          <w:i w:val="0"/>
        </w:rPr>
        <w:t>The first two role descriptions are relevant to your background and are visible in current source pages as checked on 17 Oct 2026, but availability is not equally certain. Tudoholic’s own careers page still displays an application form and says Nepal/India candidates are eligible; a third-party copy marks its 11 Oct deadline expired. Confirm with the employer before applying. The OmnicomMediaGroup Nepal listing appears on a newer job-board page published about three weeks ago. The third role is a current Mutual of Omaha remote listing; it is not considered Nepal-eligible without employer confirmation because it prohibits sponsorship and requires periodic in-person attendance.</w:t>
      </w:r>
    </w:p>
    <w:p>
      <w:pPr>
        <w:pStyle w:val="Heading2"/>
      </w:pPr>
      <w:r>
        <w:t>Vacancy A: Project Manager - ERP &amp; Integrations | Tudoholic / Nexora Commerce</w:t>
      </w:r>
    </w:p>
    <w:p>
      <w:pPr>
        <w:keepLines/>
        <w:spacing w:after="44"/>
      </w:pPr>
      <w:r>
        <w:rPr>
          <w:i w:val="0"/>
        </w:rPr>
        <w:t>Employer page: https://tudoholic.com/apps/careers/project-manager-erp-integrations | Location: Nepal or India; hybrid Kathmandu. The employer page still displays “We’re Hiring” and an application form as checked 17 Oct 2026, while the KaamNepal mirror lists an 11 Oct deadline and marks the mirrored role expired. Availability therefore needs direct confirmation with hr@tudoholic.com before applying. The role covers a custom ERP build/rollout and integrations across commerce, sourcing, logistics, payment and internal systems. [1]</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7365D"/>
            <w:tcMar>
              <w:top w:w="80" w:type="dxa"/>
              <w:start w:w="100" w:type="dxa"/>
              <w:bottom w:w="80" w:type="dxa"/>
              <w:end w:w="100" w:type="dxa"/>
            </w:tcMar>
            <w:vAlign w:val="center"/>
          </w:tcPr>
          <w:p>
            <w:pPr>
              <w:spacing w:after="0"/>
            </w:pPr>
            <w:r>
              <w:rPr>
                <w:b/>
                <w:color w:val="FFFFFF"/>
                <w:sz w:val="15"/>
              </w:rPr>
              <w:t>Material requirement</w:t>
            </w:r>
          </w:p>
        </w:tc>
        <w:tc>
          <w:tcPr>
            <w:tcW w:type="dxa" w:w="2541"/>
            <w:shd w:fill="17365D"/>
            <w:tcMar>
              <w:top w:w="80" w:type="dxa"/>
              <w:start w:w="100" w:type="dxa"/>
              <w:bottom w:w="80" w:type="dxa"/>
              <w:end w:w="100" w:type="dxa"/>
            </w:tcMar>
            <w:vAlign w:val="center"/>
          </w:tcPr>
          <w:p>
            <w:pPr>
              <w:spacing w:after="0"/>
            </w:pPr>
            <w:r>
              <w:rPr>
                <w:b/>
                <w:color w:val="FFFFFF"/>
                <w:sz w:val="15"/>
              </w:rPr>
              <w:t>Evidence from career sources</w:t>
            </w:r>
          </w:p>
        </w:tc>
        <w:tc>
          <w:tcPr>
            <w:tcW w:type="dxa" w:w="2541"/>
            <w:shd w:fill="17365D"/>
            <w:tcMar>
              <w:top w:w="80" w:type="dxa"/>
              <w:start w:w="100" w:type="dxa"/>
              <w:bottom w:w="80" w:type="dxa"/>
              <w:end w:w="100" w:type="dxa"/>
            </w:tcMar>
            <w:vAlign w:val="center"/>
          </w:tcPr>
          <w:p>
            <w:pPr>
              <w:spacing w:after="0"/>
            </w:pPr>
            <w:r>
              <w:rPr>
                <w:b/>
                <w:color w:val="FFFFFF"/>
                <w:sz w:val="15"/>
              </w:rPr>
              <w:t>Match</w:t>
            </w:r>
          </w:p>
        </w:tc>
        <w:tc>
          <w:tcPr>
            <w:tcW w:type="dxa" w:w="2541"/>
            <w:shd w:fill="17365D"/>
            <w:tcMar>
              <w:top w:w="80" w:type="dxa"/>
              <w:start w:w="100" w:type="dxa"/>
              <w:bottom w:w="80" w:type="dxa"/>
              <w:end w:w="100" w:type="dxa"/>
            </w:tcMar>
            <w:vAlign w:val="center"/>
          </w:tcPr>
          <w:p>
            <w:pPr>
              <w:spacing w:after="0"/>
            </w:pPr>
            <w:r>
              <w:rPr>
                <w:b/>
                <w:color w:val="FFFFFF"/>
                <w:sz w:val="15"/>
              </w:rPr>
              <w:t>CV action / gap</w:t>
            </w:r>
          </w:p>
        </w:tc>
      </w:tr>
      <w:tr>
        <w:trPr>
          <w:cantSplit/>
        </w:trPr>
        <w:tc>
          <w:tcPr>
            <w:tcW w:type="dxa" w:w="2664"/>
            <w:tcMar>
              <w:top w:w="70" w:type="dxa"/>
              <w:start w:w="100" w:type="dxa"/>
              <w:bottom w:w="70" w:type="dxa"/>
              <w:end w:w="100" w:type="dxa"/>
            </w:tcMar>
            <w:vAlign w:val="top"/>
          </w:tcPr>
          <w:p>
            <w:pPr>
              <w:spacing w:after="0" w:line="240" w:lineRule="auto"/>
            </w:pPr>
            <w:r>
              <w:rPr>
                <w:sz w:val="15"/>
              </w:rPr>
              <w:t>6+ years in technical project/program management</w:t>
            </w:r>
          </w:p>
        </w:tc>
        <w:tc>
          <w:tcPr>
            <w:tcW w:type="dxa" w:w="3240"/>
            <w:tcMar>
              <w:top w:w="70" w:type="dxa"/>
              <w:start w:w="100" w:type="dxa"/>
              <w:bottom w:w="70" w:type="dxa"/>
              <w:end w:w="100" w:type="dxa"/>
            </w:tcMar>
            <w:vAlign w:val="top"/>
          </w:tcPr>
          <w:p>
            <w:pPr>
              <w:spacing w:after="0" w:line="240" w:lineRule="auto"/>
            </w:pPr>
            <w:r>
              <w:rPr>
                <w:sz w:val="15"/>
              </w:rPr>
              <w:t>Project-management roles Dec 2021-Oct 2026: approx. 4 years 10 months; overall software/analysis/delivery experience exceeds 10 years.</w:t>
            </w:r>
          </w:p>
        </w:tc>
        <w:tc>
          <w:tcPr>
            <w:tcW w:type="dxa" w:w="1224"/>
            <w:tcMar>
              <w:top w:w="70" w:type="dxa"/>
              <w:start w:w="100" w:type="dxa"/>
              <w:bottom w:w="70" w:type="dxa"/>
              <w:end w:w="100" w:type="dxa"/>
            </w:tcMar>
            <w:vAlign w:val="top"/>
          </w:tcPr>
          <w:p>
            <w:pPr>
              <w:spacing w:after="0" w:line="240" w:lineRule="auto"/>
            </w:pPr>
            <w:r>
              <w:rPr>
                <w:sz w:val="15"/>
              </w:rPr>
              <w:t>PARTIAL / GAP</w:t>
            </w:r>
          </w:p>
        </w:tc>
        <w:tc>
          <w:tcPr>
            <w:tcW w:type="dxa" w:w="3384"/>
            <w:tcMar>
              <w:top w:w="70" w:type="dxa"/>
              <w:start w:w="100" w:type="dxa"/>
              <w:bottom w:w="70" w:type="dxa"/>
              <w:end w:w="100" w:type="dxa"/>
            </w:tcMar>
            <w:vAlign w:val="top"/>
          </w:tcPr>
          <w:p>
            <w:pPr>
              <w:spacing w:after="0" w:line="240" w:lineRule="auto"/>
            </w:pPr>
            <w:r>
              <w:rPr>
                <w:sz w:val="15"/>
              </w:rPr>
              <w:t>Do not claim 6+ PM years. Application is a stretch if 6+ years is a strict screen.</w:t>
            </w:r>
          </w:p>
        </w:tc>
      </w:tr>
      <w:tr>
        <w:trPr>
          <w:cantSplit/>
        </w:trPr>
        <w:tc>
          <w:tcPr>
            <w:tcW w:type="dxa" w:w="2664"/>
            <w:tcMar>
              <w:top w:w="70" w:type="dxa"/>
              <w:start w:w="100" w:type="dxa"/>
              <w:bottom w:w="70" w:type="dxa"/>
              <w:end w:w="100" w:type="dxa"/>
            </w:tcMar>
            <w:vAlign w:val="top"/>
            <w:shd w:fill="F6F8FB"/>
          </w:tcPr>
          <w:p>
            <w:pPr>
              <w:spacing w:after="0" w:line="240" w:lineRule="auto"/>
            </w:pPr>
            <w:r>
              <w:rPr>
                <w:sz w:val="15"/>
              </w:rPr>
              <w:t>Technical understanding of software and operations</w:t>
            </w:r>
          </w:p>
        </w:tc>
        <w:tc>
          <w:tcPr>
            <w:tcW w:type="dxa" w:w="3240"/>
            <w:tcMar>
              <w:top w:w="70" w:type="dxa"/>
              <w:start w:w="100" w:type="dxa"/>
              <w:bottom w:w="70" w:type="dxa"/>
              <w:end w:w="100" w:type="dxa"/>
            </w:tcMar>
            <w:vAlign w:val="top"/>
            <w:shd w:fill="F6F8FB"/>
          </w:tcPr>
          <w:p>
            <w:pPr>
              <w:spacing w:after="0" w:line="240" w:lineRule="auto"/>
            </w:pPr>
            <w:r>
              <w:rPr>
                <w:sz w:val="15"/>
              </w:rPr>
              <w:t>C#/.NET developer background; ERP systems and eSewa/IRD integrations; enterprise systems analysis; UAT and requirements documentation.</w:t>
            </w:r>
          </w:p>
        </w:tc>
        <w:tc>
          <w:tcPr>
            <w:tcW w:type="dxa" w:w="1224"/>
            <w:tcMar>
              <w:top w:w="70" w:type="dxa"/>
              <w:start w:w="100" w:type="dxa"/>
              <w:bottom w:w="70" w:type="dxa"/>
              <w:end w:w="100" w:type="dxa"/>
            </w:tcMar>
            <w:vAlign w:val="top"/>
            <w:shd w:fill="F6F8FB"/>
          </w:tcPr>
          <w:p>
            <w:pPr>
              <w:spacing w:after="0" w:line="240" w:lineRule="auto"/>
            </w:pPr>
            <w:r>
              <w:rPr>
                <w:sz w:val="15"/>
              </w:rPr>
              <w:t>STRONG</w:t>
            </w:r>
          </w:p>
        </w:tc>
        <w:tc>
          <w:tcPr>
            <w:tcW w:type="dxa" w:w="3384"/>
            <w:tcMar>
              <w:top w:w="70" w:type="dxa"/>
              <w:start w:w="100" w:type="dxa"/>
              <w:bottom w:w="70" w:type="dxa"/>
              <w:end w:w="100" w:type="dxa"/>
            </w:tcMar>
            <w:vAlign w:val="top"/>
            <w:shd w:fill="F6F8FB"/>
          </w:tcPr>
          <w:p>
            <w:pPr>
              <w:spacing w:after="0" w:line="240" w:lineRule="auto"/>
            </w:pPr>
            <w:r>
              <w:rPr>
                <w:sz w:val="15"/>
              </w:rPr>
              <w:t>Use Technical PM CV and bring developer + analysis progression forward.</w:t>
            </w:r>
          </w:p>
        </w:tc>
      </w:tr>
      <w:tr>
        <w:trPr>
          <w:cantSplit/>
        </w:trPr>
        <w:tc>
          <w:tcPr>
            <w:tcW w:type="dxa" w:w="2664"/>
            <w:tcMar>
              <w:top w:w="70" w:type="dxa"/>
              <w:start w:w="100" w:type="dxa"/>
              <w:bottom w:w="70" w:type="dxa"/>
              <w:end w:w="100" w:type="dxa"/>
            </w:tcMar>
            <w:vAlign w:val="top"/>
          </w:tcPr>
          <w:p>
            <w:pPr>
              <w:spacing w:after="0" w:line="240" w:lineRule="auto"/>
            </w:pPr>
            <w:r>
              <w:rPr>
                <w:sz w:val="15"/>
              </w:rPr>
              <w:t>Complex multi-team delivery, hard dependencies, delivery planning</w:t>
            </w:r>
          </w:p>
        </w:tc>
        <w:tc>
          <w:tcPr>
            <w:tcW w:type="dxa" w:w="3240"/>
            <w:tcMar>
              <w:top w:w="70" w:type="dxa"/>
              <w:start w:w="100" w:type="dxa"/>
              <w:bottom w:w="70" w:type="dxa"/>
              <w:end w:w="100" w:type="dxa"/>
            </w:tcMar>
            <w:vAlign w:val="top"/>
          </w:tcPr>
          <w:p>
            <w:pPr>
              <w:spacing w:after="0" w:line="240" w:lineRule="auto"/>
            </w:pPr>
            <w:r>
              <w:rPr>
                <w:sz w:val="15"/>
              </w:rPr>
              <w:t>Two concurrent teams; 5+ teams across tenure; roadmaps, RAID, dependencies, risk reporting.</w:t>
            </w:r>
          </w:p>
        </w:tc>
        <w:tc>
          <w:tcPr>
            <w:tcW w:type="dxa" w:w="1224"/>
            <w:tcMar>
              <w:top w:w="70" w:type="dxa"/>
              <w:start w:w="100" w:type="dxa"/>
              <w:bottom w:w="70" w:type="dxa"/>
              <w:end w:w="100" w:type="dxa"/>
            </w:tcMar>
            <w:vAlign w:val="top"/>
          </w:tcPr>
          <w:p>
            <w:pPr>
              <w:spacing w:after="0" w:line="240" w:lineRule="auto"/>
            </w:pPr>
            <w:r>
              <w:rPr>
                <w:sz w:val="15"/>
              </w:rPr>
              <w:t>STRONG / PARTIAL</w:t>
            </w:r>
          </w:p>
        </w:tc>
        <w:tc>
          <w:tcPr>
            <w:tcW w:type="dxa" w:w="3384"/>
            <w:tcMar>
              <w:top w:w="70" w:type="dxa"/>
              <w:start w:w="100" w:type="dxa"/>
              <w:bottom w:w="70" w:type="dxa"/>
              <w:end w:w="100" w:type="dxa"/>
            </w:tcMar>
            <w:vAlign w:val="top"/>
          </w:tcPr>
          <w:p>
            <w:pPr>
              <w:spacing w:after="0" w:line="240" w:lineRule="auto"/>
            </w:pPr>
            <w:r>
              <w:rPr>
                <w:sz w:val="15"/>
              </w:rPr>
              <w:t>Describe evidenced team coordination and dependency/risk management; avoid implying ERP-program ownership.</w:t>
            </w:r>
          </w:p>
        </w:tc>
      </w:tr>
      <w:tr>
        <w:trPr>
          <w:cantSplit/>
        </w:trPr>
        <w:tc>
          <w:tcPr>
            <w:tcW w:type="dxa" w:w="2664"/>
            <w:tcMar>
              <w:top w:w="70" w:type="dxa"/>
              <w:start w:w="100" w:type="dxa"/>
              <w:bottom w:w="70" w:type="dxa"/>
              <w:end w:w="100" w:type="dxa"/>
            </w:tcMar>
            <w:vAlign w:val="top"/>
            <w:shd w:fill="F6F8FB"/>
          </w:tcPr>
          <w:p>
            <w:pPr>
              <w:spacing w:after="0" w:line="240" w:lineRule="auto"/>
            </w:pPr>
            <w:r>
              <w:rPr>
                <w:sz w:val="15"/>
              </w:rPr>
              <w:t>ERP implementation or migration ownership</w:t>
            </w:r>
          </w:p>
        </w:tc>
        <w:tc>
          <w:tcPr>
            <w:tcW w:type="dxa" w:w="3240"/>
            <w:tcMar>
              <w:top w:w="70" w:type="dxa"/>
              <w:start w:w="100" w:type="dxa"/>
              <w:bottom w:w="70" w:type="dxa"/>
              <w:end w:w="100" w:type="dxa"/>
            </w:tcMar>
            <w:vAlign w:val="top"/>
            <w:shd w:fill="F6F8FB"/>
          </w:tcPr>
          <w:p>
            <w:pPr>
              <w:spacing w:after="0" w:line="240" w:lineRule="auto"/>
            </w:pPr>
            <w:r>
              <w:rPr>
                <w:sz w:val="15"/>
              </w:rPr>
              <w:t>Earlier experience building/customizing ERP software and integrating third-party services; no documented PM ownership of an ERP implementation/migration.</w:t>
            </w:r>
          </w:p>
        </w:tc>
        <w:tc>
          <w:tcPr>
            <w:tcW w:type="dxa" w:w="1224"/>
            <w:tcMar>
              <w:top w:w="70" w:type="dxa"/>
              <w:start w:w="100" w:type="dxa"/>
              <w:bottom w:w="70" w:type="dxa"/>
              <w:end w:w="100" w:type="dxa"/>
            </w:tcMar>
            <w:vAlign w:val="top"/>
            <w:shd w:fill="F6F8FB"/>
          </w:tcPr>
          <w:p>
            <w:pPr>
              <w:spacing w:after="0" w:line="240" w:lineRule="auto"/>
            </w:pPr>
            <w:r>
              <w:rPr>
                <w:sz w:val="15"/>
              </w:rPr>
              <w:t>PARTIAL</w:t>
            </w:r>
          </w:p>
        </w:tc>
        <w:tc>
          <w:tcPr>
            <w:tcW w:type="dxa" w:w="3384"/>
            <w:tcMar>
              <w:top w:w="70" w:type="dxa"/>
              <w:start w:w="100" w:type="dxa"/>
              <w:bottom w:w="70" w:type="dxa"/>
              <w:end w:w="100" w:type="dxa"/>
            </w:tcMar>
            <w:vAlign w:val="top"/>
            <w:shd w:fill="F6F8FB"/>
          </w:tcPr>
          <w:p>
            <w:pPr>
              <w:spacing w:after="0" w:line="240" w:lineRule="auto"/>
            </w:pPr>
            <w:r>
              <w:rPr>
                <w:sz w:val="15"/>
              </w:rPr>
              <w:t>Relevant technical context transfers, but direct implementation/migration leadership is not established.</w:t>
            </w:r>
          </w:p>
        </w:tc>
      </w:tr>
      <w:tr>
        <w:trPr>
          <w:cantSplit/>
        </w:trPr>
        <w:tc>
          <w:tcPr>
            <w:tcW w:type="dxa" w:w="2664"/>
            <w:tcMar>
              <w:top w:w="70" w:type="dxa"/>
              <w:start w:w="100" w:type="dxa"/>
              <w:bottom w:w="70" w:type="dxa"/>
              <w:end w:w="100" w:type="dxa"/>
            </w:tcMar>
            <w:vAlign w:val="top"/>
          </w:tcPr>
          <w:p>
            <w:pPr>
              <w:spacing w:after="0" w:line="240" w:lineRule="auto"/>
            </w:pPr>
            <w:r>
              <w:rPr>
                <w:sz w:val="15"/>
              </w:rPr>
              <w:t>Translate business needs for engineering and operations</w:t>
            </w:r>
          </w:p>
        </w:tc>
        <w:tc>
          <w:tcPr>
            <w:tcW w:type="dxa" w:w="3240"/>
            <w:tcMar>
              <w:top w:w="70" w:type="dxa"/>
              <w:start w:w="100" w:type="dxa"/>
              <w:bottom w:w="70" w:type="dxa"/>
              <w:end w:w="100" w:type="dxa"/>
            </w:tcMar>
            <w:vAlign w:val="top"/>
          </w:tcPr>
          <w:p>
            <w:pPr>
              <w:spacing w:after="0" w:line="240" w:lineRule="auto"/>
            </w:pPr>
            <w:r>
              <w:rPr>
                <w:sz w:val="15"/>
              </w:rPr>
              <w:t>Associate Team Lead - Planning; requirements/design docs; dev/QA collaboration; UAT; enterprise stakeholders.</w:t>
            </w:r>
          </w:p>
        </w:tc>
        <w:tc>
          <w:tcPr>
            <w:tcW w:type="dxa" w:w="1224"/>
            <w:tcMar>
              <w:top w:w="70" w:type="dxa"/>
              <w:start w:w="100" w:type="dxa"/>
              <w:bottom w:w="70" w:type="dxa"/>
              <w:end w:w="100" w:type="dxa"/>
            </w:tcMar>
            <w:vAlign w:val="top"/>
          </w:tcPr>
          <w:p>
            <w:pPr>
              <w:spacing w:after="0" w:line="240" w:lineRule="auto"/>
            </w:pPr>
            <w:r>
              <w:rPr>
                <w:sz w:val="15"/>
              </w:rPr>
              <w:t>STRONG</w:t>
            </w:r>
          </w:p>
        </w:tc>
        <w:tc>
          <w:tcPr>
            <w:tcW w:type="dxa" w:w="3384"/>
            <w:tcMar>
              <w:top w:w="70" w:type="dxa"/>
              <w:start w:w="100" w:type="dxa"/>
              <w:bottom w:w="70" w:type="dxa"/>
              <w:end w:w="100" w:type="dxa"/>
            </w:tcMar>
            <w:vAlign w:val="top"/>
          </w:tcPr>
          <w:p>
            <w:pPr>
              <w:spacing w:after="0" w:line="240" w:lineRule="auto"/>
            </w:pPr>
            <w:r>
              <w:rPr>
                <w:sz w:val="15"/>
              </w:rPr>
              <w:t>Emphasize requirement-to-delivery translation.</w:t>
            </w:r>
          </w:p>
        </w:tc>
      </w:tr>
      <w:tr>
        <w:trPr>
          <w:cantSplit/>
        </w:trPr>
        <w:tc>
          <w:tcPr>
            <w:tcW w:type="dxa" w:w="2664"/>
            <w:tcMar>
              <w:top w:w="70" w:type="dxa"/>
              <w:start w:w="100" w:type="dxa"/>
              <w:bottom w:w="70" w:type="dxa"/>
              <w:end w:w="100" w:type="dxa"/>
            </w:tcMar>
            <w:vAlign w:val="top"/>
            <w:shd w:fill="F6F8FB"/>
          </w:tcPr>
          <w:p>
            <w:pPr>
              <w:spacing w:after="0" w:line="240" w:lineRule="auto"/>
            </w:pPr>
            <w:r>
              <w:rPr>
                <w:sz w:val="15"/>
              </w:rPr>
              <w:t>Vendor/external partner coordination</w:t>
            </w:r>
          </w:p>
        </w:tc>
        <w:tc>
          <w:tcPr>
            <w:tcW w:type="dxa" w:w="3240"/>
            <w:tcMar>
              <w:top w:w="70" w:type="dxa"/>
              <w:start w:w="100" w:type="dxa"/>
              <w:bottom w:w="70" w:type="dxa"/>
              <w:end w:w="100" w:type="dxa"/>
            </w:tcMar>
            <w:vAlign w:val="top"/>
            <w:shd w:fill="F6F8FB"/>
          </w:tcPr>
          <w:p>
            <w:pPr>
              <w:spacing w:after="0" w:line="240" w:lineRule="auto"/>
            </w:pPr>
            <w:r>
              <w:rPr>
                <w:sz w:val="15"/>
              </w:rPr>
              <w:t>No adequate source evidence of vendor management or ownership of external integration vendors.</w:t>
            </w:r>
          </w:p>
        </w:tc>
        <w:tc>
          <w:tcPr>
            <w:tcW w:type="dxa" w:w="1224"/>
            <w:tcMar>
              <w:top w:w="70" w:type="dxa"/>
              <w:start w:w="100" w:type="dxa"/>
              <w:bottom w:w="70" w:type="dxa"/>
              <w:end w:w="100" w:type="dxa"/>
            </w:tcMar>
            <w:vAlign w:val="top"/>
            <w:shd w:fill="F6F8FB"/>
          </w:tcPr>
          <w:p>
            <w:pPr>
              <w:spacing w:after="0" w:line="240" w:lineRule="auto"/>
            </w:pPr>
            <w:r>
              <w:rPr>
                <w:sz w:val="15"/>
              </w:rPr>
              <w:t>NO EVIDENCE</w:t>
            </w:r>
          </w:p>
        </w:tc>
        <w:tc>
          <w:tcPr>
            <w:tcW w:type="dxa" w:w="3384"/>
            <w:tcMar>
              <w:top w:w="70" w:type="dxa"/>
              <w:start w:w="100" w:type="dxa"/>
              <w:bottom w:w="70" w:type="dxa"/>
              <w:end w:w="100" w:type="dxa"/>
            </w:tcMar>
            <w:vAlign w:val="top"/>
            <w:shd w:fill="F6F8FB"/>
          </w:tcPr>
          <w:p>
            <w:pPr>
              <w:spacing w:after="0" w:line="240" w:lineRule="auto"/>
            </w:pPr>
            <w:r>
              <w:rPr>
                <w:sz w:val="15"/>
              </w:rPr>
              <w:t>Do not claim vendor-management experience; answer honestly if screened.</w:t>
            </w:r>
          </w:p>
        </w:tc>
      </w:tr>
      <w:tr>
        <w:trPr>
          <w:cantSplit/>
        </w:trPr>
        <w:tc>
          <w:tcPr>
            <w:tcW w:type="dxa" w:w="2664"/>
            <w:tcMar>
              <w:top w:w="70" w:type="dxa"/>
              <w:start w:w="100" w:type="dxa"/>
              <w:bottom w:w="70" w:type="dxa"/>
              <w:end w:w="100" w:type="dxa"/>
            </w:tcMar>
            <w:vAlign w:val="top"/>
          </w:tcPr>
          <w:p>
            <w:pPr>
              <w:spacing w:after="0" w:line="240" w:lineRule="auto"/>
            </w:pPr>
            <w:r>
              <w:rPr>
                <w:sz w:val="15"/>
              </w:rPr>
              <w:t>Change management, adoption and status visibility</w:t>
            </w:r>
          </w:p>
        </w:tc>
        <w:tc>
          <w:tcPr>
            <w:tcW w:type="dxa" w:w="3240"/>
            <w:tcMar>
              <w:top w:w="70" w:type="dxa"/>
              <w:start w:w="100" w:type="dxa"/>
              <w:bottom w:w="70" w:type="dxa"/>
              <w:end w:w="100" w:type="dxa"/>
            </w:tcMar>
            <w:vAlign w:val="top"/>
          </w:tcPr>
          <w:p>
            <w:pPr>
              <w:spacing w:after="0" w:line="240" w:lineRule="auto"/>
            </w:pPr>
            <w:r>
              <w:rPr>
                <w:sz w:val="15"/>
              </w:rPr>
              <w:t>Change management and stakeholder reporting documented; release playbooks and CAB/go-no-go coordination confirmed.</w:t>
            </w:r>
          </w:p>
        </w:tc>
        <w:tc>
          <w:tcPr>
            <w:tcW w:type="dxa" w:w="1224"/>
            <w:tcMar>
              <w:top w:w="70" w:type="dxa"/>
              <w:start w:w="100" w:type="dxa"/>
              <w:bottom w:w="70" w:type="dxa"/>
              <w:end w:w="100" w:type="dxa"/>
            </w:tcMar>
            <w:vAlign w:val="top"/>
          </w:tcPr>
          <w:p>
            <w:pPr>
              <w:spacing w:after="0" w:line="240" w:lineRule="auto"/>
            </w:pPr>
            <w:r>
              <w:rPr>
                <w:sz w:val="15"/>
              </w:rPr>
              <w:t>STRONG / PARTIAL</w:t>
            </w:r>
          </w:p>
        </w:tc>
        <w:tc>
          <w:tcPr>
            <w:tcW w:type="dxa" w:w="3384"/>
            <w:tcMar>
              <w:top w:w="70" w:type="dxa"/>
              <w:start w:w="100" w:type="dxa"/>
              <w:bottom w:w="70" w:type="dxa"/>
              <w:end w:w="100" w:type="dxa"/>
            </w:tcMar>
            <w:vAlign w:val="top"/>
          </w:tcPr>
          <w:p>
            <w:pPr>
              <w:spacing w:after="0" w:line="240" w:lineRule="auto"/>
            </w:pPr>
            <w:r>
              <w:rPr>
                <w:sz w:val="15"/>
              </w:rPr>
              <w:t>Emphasize release readiness and change coordination; do not invent formal training/adoption outcomes.</w:t>
            </w:r>
          </w:p>
        </w:tc>
      </w:tr>
      <w:tr>
        <w:trPr>
          <w:cantSplit/>
        </w:trPr>
        <w:tc>
          <w:tcPr>
            <w:tcW w:type="dxa" w:w="2664"/>
            <w:tcMar>
              <w:top w:w="70" w:type="dxa"/>
              <w:start w:w="100" w:type="dxa"/>
              <w:bottom w:w="70" w:type="dxa"/>
              <w:end w:w="100" w:type="dxa"/>
            </w:tcMar>
            <w:vAlign w:val="top"/>
            <w:shd w:fill="F6F8FB"/>
          </w:tcPr>
          <w:p>
            <w:pPr>
              <w:spacing w:after="0" w:line="240" w:lineRule="auto"/>
            </w:pPr>
            <w:r>
              <w:rPr>
                <w:sz w:val="15"/>
              </w:rPr>
              <w:t>Agile methods and PM tools</w:t>
            </w:r>
          </w:p>
        </w:tc>
        <w:tc>
          <w:tcPr>
            <w:tcW w:type="dxa" w:w="3240"/>
            <w:tcMar>
              <w:top w:w="70" w:type="dxa"/>
              <w:start w:w="100" w:type="dxa"/>
              <w:bottom w:w="70" w:type="dxa"/>
              <w:end w:w="100" w:type="dxa"/>
            </w:tcMar>
            <w:vAlign w:val="top"/>
            <w:shd w:fill="F6F8FB"/>
          </w:tcPr>
          <w:p>
            <w:pPr>
              <w:spacing w:after="0" w:line="240" w:lineRule="auto"/>
            </w:pPr>
            <w:r>
              <w:rPr>
                <w:sz w:val="15"/>
              </w:rPr>
              <w:t>Scrum, Kanban, Scrumban, SAFe 6; Jira, Confluence, MS Project.</w:t>
            </w:r>
          </w:p>
        </w:tc>
        <w:tc>
          <w:tcPr>
            <w:tcW w:type="dxa" w:w="1224"/>
            <w:tcMar>
              <w:top w:w="70" w:type="dxa"/>
              <w:start w:w="100" w:type="dxa"/>
              <w:bottom w:w="70" w:type="dxa"/>
              <w:end w:w="100" w:type="dxa"/>
            </w:tcMar>
            <w:vAlign w:val="top"/>
            <w:shd w:fill="F6F8FB"/>
          </w:tcPr>
          <w:p>
            <w:pPr>
              <w:spacing w:after="0" w:line="240" w:lineRule="auto"/>
            </w:pPr>
            <w:r>
              <w:rPr>
                <w:sz w:val="15"/>
              </w:rPr>
              <w:t>STRONG</w:t>
            </w:r>
          </w:p>
        </w:tc>
        <w:tc>
          <w:tcPr>
            <w:tcW w:type="dxa" w:w="3384"/>
            <w:tcMar>
              <w:top w:w="70" w:type="dxa"/>
              <w:start w:w="100" w:type="dxa"/>
              <w:bottom w:w="70" w:type="dxa"/>
              <w:end w:w="100" w:type="dxa"/>
            </w:tcMar>
            <w:vAlign w:val="top"/>
            <w:shd w:fill="F6F8FB"/>
          </w:tcPr>
          <w:p>
            <w:pPr>
              <w:spacing w:after="0" w:line="240" w:lineRule="auto"/>
            </w:pPr>
            <w:r>
              <w:rPr>
                <w:sz w:val="15"/>
              </w:rPr>
              <w:t>Use naturally in skills and experience.</w:t>
            </w:r>
          </w:p>
        </w:tc>
      </w:tr>
    </w:tbl>
    <w:p>
      <w:pPr>
        <w:spacing w:after="0"/>
      </w:pPr>
    </w:p>
    <w:p>
      <w:pPr>
        <w:keepLines/>
        <w:spacing w:after="44"/>
      </w:pPr>
      <w:r>
        <w:rPr>
          <w:i w:val="0"/>
        </w:rPr>
        <w:t>Recommended base CV: Technical Project Manager. Application judgment: a reasonable stretch if the employer treats 6+ years as preferred/flexible, but a genuine tenure gap if strictly mandatory. Do not let 10+ years total experience be mistaken for 10+ years as a project manager.</w:t>
      </w:r>
    </w:p>
    <w:p>
      <w:pPr>
        <w:pStyle w:val="Heading2"/>
      </w:pPr>
      <w:r>
        <w:t>Vacancy B: Software Delivery Lead | OmnicomMediaGroup Nepal</w:t>
      </w:r>
    </w:p>
    <w:p>
      <w:pPr>
        <w:keepLines/>
        <w:spacing w:after="44"/>
      </w:pPr>
      <w:r>
        <w:rPr>
          <w:i w:val="0"/>
        </w:rPr>
        <w:t>Listing: https://np.jobiglo.com/emploi-software-delivery-lead-j-6ab4bc6b8055b4c45603ae85 | Location: Kathmandu, Nepal. The page showed the listing as published about three weeks earlier and expiring in about a month on 17 Oct 2026; an associated LinkedIn listing is also available at https://www.linkedin.com/jobs/view/4468509668. Core responsibilities include requirement analysis, specifications/workflows, technical dependencies, developer/QA coordination and release management. It also asks for understanding of LLMs, AI agents, AI quality/security/compliance and governance. Recheck status with the employer before submission. [2]</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7365D"/>
            <w:tcMar>
              <w:top w:w="80" w:type="dxa"/>
              <w:start w:w="100" w:type="dxa"/>
              <w:bottom w:w="80" w:type="dxa"/>
              <w:end w:w="100" w:type="dxa"/>
            </w:tcMar>
            <w:vAlign w:val="center"/>
          </w:tcPr>
          <w:p>
            <w:pPr>
              <w:spacing w:after="0"/>
            </w:pPr>
            <w:r>
              <w:rPr>
                <w:b/>
                <w:color w:val="FFFFFF"/>
                <w:sz w:val="15"/>
              </w:rPr>
              <w:t>Material requirement</w:t>
            </w:r>
          </w:p>
        </w:tc>
        <w:tc>
          <w:tcPr>
            <w:tcW w:type="dxa" w:w="2541"/>
            <w:shd w:fill="17365D"/>
            <w:tcMar>
              <w:top w:w="80" w:type="dxa"/>
              <w:start w:w="100" w:type="dxa"/>
              <w:bottom w:w="80" w:type="dxa"/>
              <w:end w:w="100" w:type="dxa"/>
            </w:tcMar>
            <w:vAlign w:val="center"/>
          </w:tcPr>
          <w:p>
            <w:pPr>
              <w:spacing w:after="0"/>
            </w:pPr>
            <w:r>
              <w:rPr>
                <w:b/>
                <w:color w:val="FFFFFF"/>
                <w:sz w:val="15"/>
              </w:rPr>
              <w:t>Evidence from career sources</w:t>
            </w:r>
          </w:p>
        </w:tc>
        <w:tc>
          <w:tcPr>
            <w:tcW w:type="dxa" w:w="2541"/>
            <w:shd w:fill="17365D"/>
            <w:tcMar>
              <w:top w:w="80" w:type="dxa"/>
              <w:start w:w="100" w:type="dxa"/>
              <w:bottom w:w="80" w:type="dxa"/>
              <w:end w:w="100" w:type="dxa"/>
            </w:tcMar>
            <w:vAlign w:val="center"/>
          </w:tcPr>
          <w:p>
            <w:pPr>
              <w:spacing w:after="0"/>
            </w:pPr>
            <w:r>
              <w:rPr>
                <w:b/>
                <w:color w:val="FFFFFF"/>
                <w:sz w:val="15"/>
              </w:rPr>
              <w:t>Match</w:t>
            </w:r>
          </w:p>
        </w:tc>
        <w:tc>
          <w:tcPr>
            <w:tcW w:type="dxa" w:w="2541"/>
            <w:shd w:fill="17365D"/>
            <w:tcMar>
              <w:top w:w="80" w:type="dxa"/>
              <w:start w:w="100" w:type="dxa"/>
              <w:bottom w:w="80" w:type="dxa"/>
              <w:end w:w="100" w:type="dxa"/>
            </w:tcMar>
            <w:vAlign w:val="center"/>
          </w:tcPr>
          <w:p>
            <w:pPr>
              <w:spacing w:after="0"/>
            </w:pPr>
            <w:r>
              <w:rPr>
                <w:b/>
                <w:color w:val="FFFFFF"/>
                <w:sz w:val="15"/>
              </w:rPr>
              <w:t>CV action / gap</w:t>
            </w:r>
          </w:p>
        </w:tc>
      </w:tr>
      <w:tr>
        <w:trPr>
          <w:cantSplit/>
        </w:trPr>
        <w:tc>
          <w:tcPr>
            <w:tcW w:type="dxa" w:w="2664"/>
            <w:tcMar>
              <w:top w:w="70" w:type="dxa"/>
              <w:start w:w="100" w:type="dxa"/>
              <w:bottom w:w="70" w:type="dxa"/>
              <w:end w:w="100" w:type="dxa"/>
            </w:tcMar>
            <w:vAlign w:val="top"/>
          </w:tcPr>
          <w:p>
            <w:pPr>
              <w:spacing w:after="0" w:line="240" w:lineRule="auto"/>
            </w:pPr>
            <w:r>
              <w:rPr>
                <w:sz w:val="15"/>
              </w:rPr>
              <w:t>Functional requirements, workflow documentation</w:t>
            </w:r>
          </w:p>
        </w:tc>
        <w:tc>
          <w:tcPr>
            <w:tcW w:type="dxa" w:w="3240"/>
            <w:tcMar>
              <w:top w:w="70" w:type="dxa"/>
              <w:start w:w="100" w:type="dxa"/>
              <w:bottom w:w="70" w:type="dxa"/>
              <w:end w:w="100" w:type="dxa"/>
            </w:tcMar>
            <w:vAlign w:val="top"/>
          </w:tcPr>
          <w:p>
            <w:pPr>
              <w:spacing w:after="0" w:line="240" w:lineRule="auto"/>
            </w:pPr>
            <w:r>
              <w:rPr>
                <w:sz w:val="15"/>
              </w:rPr>
              <w:t>InfoDevelopers role in business/system analysis; requirements/design documentation; banking and national investment projects.</w:t>
            </w:r>
          </w:p>
        </w:tc>
        <w:tc>
          <w:tcPr>
            <w:tcW w:type="dxa" w:w="1224"/>
            <w:tcMar>
              <w:top w:w="70" w:type="dxa"/>
              <w:start w:w="100" w:type="dxa"/>
              <w:bottom w:w="70" w:type="dxa"/>
              <w:end w:w="100" w:type="dxa"/>
            </w:tcMar>
            <w:vAlign w:val="top"/>
          </w:tcPr>
          <w:p>
            <w:pPr>
              <w:spacing w:after="0" w:line="240" w:lineRule="auto"/>
            </w:pPr>
            <w:r>
              <w:rPr>
                <w:sz w:val="15"/>
              </w:rPr>
              <w:t>STRONG</w:t>
            </w:r>
          </w:p>
        </w:tc>
        <w:tc>
          <w:tcPr>
            <w:tcW w:type="dxa" w:w="3384"/>
            <w:tcMar>
              <w:top w:w="70" w:type="dxa"/>
              <w:start w:w="100" w:type="dxa"/>
              <w:bottom w:w="70" w:type="dxa"/>
              <w:end w:w="100" w:type="dxa"/>
            </w:tcMar>
            <w:vAlign w:val="top"/>
          </w:tcPr>
          <w:p>
            <w:pPr>
              <w:spacing w:after="0" w:line="240" w:lineRule="auto"/>
            </w:pPr>
            <w:r>
              <w:rPr>
                <w:sz w:val="15"/>
              </w:rPr>
              <w:t>Lead the Delivery Lead CV with requirements-to-execution experience.</w:t>
            </w:r>
          </w:p>
        </w:tc>
      </w:tr>
      <w:tr>
        <w:trPr>
          <w:cantSplit/>
        </w:trPr>
        <w:tc>
          <w:tcPr>
            <w:tcW w:type="dxa" w:w="2664"/>
            <w:tcMar>
              <w:top w:w="70" w:type="dxa"/>
              <w:start w:w="100" w:type="dxa"/>
              <w:bottom w:w="70" w:type="dxa"/>
              <w:end w:w="100" w:type="dxa"/>
            </w:tcMar>
            <w:vAlign w:val="top"/>
            <w:shd w:fill="F6F8FB"/>
          </w:tcPr>
          <w:p>
            <w:pPr>
              <w:spacing w:after="0" w:line="240" w:lineRule="auto"/>
            </w:pPr>
            <w:r>
              <w:rPr>
                <w:sz w:val="15"/>
              </w:rPr>
              <w:t>Understand APIs, databases, integrations and dependencies</w:t>
            </w:r>
          </w:p>
        </w:tc>
        <w:tc>
          <w:tcPr>
            <w:tcW w:type="dxa" w:w="3240"/>
            <w:tcMar>
              <w:top w:w="70" w:type="dxa"/>
              <w:start w:w="100" w:type="dxa"/>
              <w:bottom w:w="70" w:type="dxa"/>
              <w:end w:w="100" w:type="dxa"/>
            </w:tcMar>
            <w:vAlign w:val="top"/>
            <w:shd w:fill="F6F8FB"/>
          </w:tcPr>
          <w:p>
            <w:pPr>
              <w:spacing w:after="0" w:line="240" w:lineRule="auto"/>
            </w:pPr>
            <w:r>
              <w:rPr>
                <w:sz w:val="15"/>
              </w:rPr>
              <w:t>C#/.NET, ERP, eSewa/IRD integrations, SQL, systems analysis; current dependency/RAID management.</w:t>
            </w:r>
          </w:p>
        </w:tc>
        <w:tc>
          <w:tcPr>
            <w:tcW w:type="dxa" w:w="1224"/>
            <w:tcMar>
              <w:top w:w="70" w:type="dxa"/>
              <w:start w:w="100" w:type="dxa"/>
              <w:bottom w:w="70" w:type="dxa"/>
              <w:end w:w="100" w:type="dxa"/>
            </w:tcMar>
            <w:vAlign w:val="top"/>
            <w:shd w:fill="F6F8FB"/>
          </w:tcPr>
          <w:p>
            <w:pPr>
              <w:spacing w:after="0" w:line="240" w:lineRule="auto"/>
            </w:pPr>
            <w:r>
              <w:rPr>
                <w:sz w:val="15"/>
              </w:rPr>
              <w:t>PARTIAL to STRONG</w:t>
            </w:r>
          </w:p>
        </w:tc>
        <w:tc>
          <w:tcPr>
            <w:tcW w:type="dxa" w:w="3384"/>
            <w:tcMar>
              <w:top w:w="70" w:type="dxa"/>
              <w:start w:w="100" w:type="dxa"/>
              <w:bottom w:w="70" w:type="dxa"/>
              <w:end w:w="100" w:type="dxa"/>
            </w:tcMar>
            <w:vAlign w:val="top"/>
            <w:shd w:fill="F6F8FB"/>
          </w:tcPr>
          <w:p>
            <w:pPr>
              <w:spacing w:after="0" w:line="240" w:lineRule="auto"/>
            </w:pPr>
            <w:r>
              <w:rPr>
                <w:sz w:val="15"/>
              </w:rPr>
              <w:t>Describe technical foundations, not current architecture authority.</w:t>
            </w:r>
          </w:p>
        </w:tc>
      </w:tr>
      <w:tr>
        <w:trPr>
          <w:cantSplit/>
        </w:trPr>
        <w:tc>
          <w:tcPr>
            <w:tcW w:type="dxa" w:w="2664"/>
            <w:tcMar>
              <w:top w:w="70" w:type="dxa"/>
              <w:start w:w="100" w:type="dxa"/>
              <w:bottom w:w="70" w:type="dxa"/>
              <w:end w:w="100" w:type="dxa"/>
            </w:tcMar>
            <w:vAlign w:val="top"/>
          </w:tcPr>
          <w:p>
            <w:pPr>
              <w:spacing w:after="0" w:line="240" w:lineRule="auto"/>
            </w:pPr>
            <w:r>
              <w:rPr>
                <w:sz w:val="15"/>
              </w:rPr>
              <w:t>Coordinate Product Owners, Engineering, QA and stakeholders</w:t>
            </w:r>
          </w:p>
        </w:tc>
        <w:tc>
          <w:tcPr>
            <w:tcW w:type="dxa" w:w="3240"/>
            <w:tcMar>
              <w:top w:w="70" w:type="dxa"/>
              <w:start w:w="100" w:type="dxa"/>
              <w:bottom w:w="70" w:type="dxa"/>
              <w:end w:w="100" w:type="dxa"/>
            </w:tcMar>
            <w:vAlign w:val="top"/>
          </w:tcPr>
          <w:p>
            <w:pPr>
              <w:spacing w:after="0" w:line="240" w:lineRule="auto"/>
            </w:pPr>
            <w:r>
              <w:rPr>
                <w:sz w:val="15"/>
              </w:rPr>
              <w:t>Current work aligns engineering, QA and product participants; stakeholder updates and delivery reporting.</w:t>
            </w:r>
          </w:p>
        </w:tc>
        <w:tc>
          <w:tcPr>
            <w:tcW w:type="dxa" w:w="1224"/>
            <w:tcMar>
              <w:top w:w="70" w:type="dxa"/>
              <w:start w:w="100" w:type="dxa"/>
              <w:bottom w:w="70" w:type="dxa"/>
              <w:end w:w="100" w:type="dxa"/>
            </w:tcMar>
            <w:vAlign w:val="top"/>
          </w:tcPr>
          <w:p>
            <w:pPr>
              <w:spacing w:after="0" w:line="240" w:lineRule="auto"/>
            </w:pPr>
            <w:r>
              <w:rPr>
                <w:sz w:val="15"/>
              </w:rPr>
              <w:t>STRONG</w:t>
            </w:r>
          </w:p>
        </w:tc>
        <w:tc>
          <w:tcPr>
            <w:tcW w:type="dxa" w:w="3384"/>
            <w:tcMar>
              <w:top w:w="70" w:type="dxa"/>
              <w:start w:w="100" w:type="dxa"/>
              <w:bottom w:w="70" w:type="dxa"/>
              <w:end w:w="100" w:type="dxa"/>
            </w:tcMar>
            <w:vAlign w:val="top"/>
          </w:tcPr>
          <w:p>
            <w:pPr>
              <w:spacing w:after="0" w:line="240" w:lineRule="auto"/>
            </w:pPr>
            <w:r>
              <w:rPr>
                <w:sz w:val="15"/>
              </w:rPr>
              <w:t>Use concise cross-functional delivery bullets.</w:t>
            </w:r>
          </w:p>
        </w:tc>
      </w:tr>
      <w:tr>
        <w:trPr>
          <w:cantSplit/>
        </w:trPr>
        <w:tc>
          <w:tcPr>
            <w:tcW w:type="dxa" w:w="2664"/>
            <w:tcMar>
              <w:top w:w="70" w:type="dxa"/>
              <w:start w:w="100" w:type="dxa"/>
              <w:bottom w:w="70" w:type="dxa"/>
              <w:end w:w="100" w:type="dxa"/>
            </w:tcMar>
            <w:vAlign w:val="top"/>
            <w:shd w:fill="F6F8FB"/>
          </w:tcPr>
          <w:p>
            <w:pPr>
              <w:spacing w:after="0" w:line="240" w:lineRule="auto"/>
            </w:pPr>
            <w:r>
              <w:rPr>
                <w:sz w:val="15"/>
              </w:rPr>
              <w:t>Release management and production deployment processes</w:t>
            </w:r>
          </w:p>
        </w:tc>
        <w:tc>
          <w:tcPr>
            <w:tcW w:type="dxa" w:w="3240"/>
            <w:tcMar>
              <w:top w:w="70" w:type="dxa"/>
              <w:start w:w="100" w:type="dxa"/>
              <w:bottom w:w="70" w:type="dxa"/>
              <w:end w:w="100" w:type="dxa"/>
            </w:tcMar>
            <w:vAlign w:val="top"/>
            <w:shd w:fill="F6F8FB"/>
          </w:tcPr>
          <w:p>
            <w:pPr>
              <w:spacing w:after="0" w:line="240" w:lineRule="auto"/>
            </w:pPr>
            <w:r>
              <w:rPr>
                <w:sz w:val="15"/>
              </w:rPr>
              <w:t>User-confirmed release coordination: CAB/approval workflows, go/no-go readiness, playbooks, support-team coordination, 100+ release events.</w:t>
            </w:r>
          </w:p>
        </w:tc>
        <w:tc>
          <w:tcPr>
            <w:tcW w:type="dxa" w:w="1224"/>
            <w:tcMar>
              <w:top w:w="70" w:type="dxa"/>
              <w:start w:w="100" w:type="dxa"/>
              <w:bottom w:w="70" w:type="dxa"/>
              <w:end w:w="100" w:type="dxa"/>
            </w:tcMar>
            <w:vAlign w:val="top"/>
            <w:shd w:fill="F6F8FB"/>
          </w:tcPr>
          <w:p>
            <w:pPr>
              <w:spacing w:after="0" w:line="240" w:lineRule="auto"/>
            </w:pPr>
            <w:r>
              <w:rPr>
                <w:sz w:val="15"/>
              </w:rPr>
              <w:t>STRONG</w:t>
            </w:r>
          </w:p>
        </w:tc>
        <w:tc>
          <w:tcPr>
            <w:tcW w:type="dxa" w:w="3384"/>
            <w:tcMar>
              <w:top w:w="70" w:type="dxa"/>
              <w:start w:w="100" w:type="dxa"/>
              <w:bottom w:w="70" w:type="dxa"/>
              <w:end w:w="100" w:type="dxa"/>
            </w:tcMar>
            <w:vAlign w:val="top"/>
            <w:shd w:fill="F6F8FB"/>
          </w:tcPr>
          <w:p>
            <w:pPr>
              <w:spacing w:after="0" w:line="240" w:lineRule="auto"/>
            </w:pPr>
            <w:r>
              <w:rPr>
                <w:sz w:val="15"/>
              </w:rPr>
              <w:t>High-value, defensible match; mention release metric once in experience.</w:t>
            </w:r>
          </w:p>
        </w:tc>
      </w:tr>
      <w:tr>
        <w:trPr>
          <w:cantSplit/>
        </w:trPr>
        <w:tc>
          <w:tcPr>
            <w:tcW w:type="dxa" w:w="2664"/>
            <w:tcMar>
              <w:top w:w="70" w:type="dxa"/>
              <w:start w:w="100" w:type="dxa"/>
              <w:bottom w:w="70" w:type="dxa"/>
              <w:end w:w="100" w:type="dxa"/>
            </w:tcMar>
            <w:vAlign w:val="top"/>
          </w:tcPr>
          <w:p>
            <w:pPr>
              <w:spacing w:after="0" w:line="240" w:lineRule="auto"/>
            </w:pPr>
            <w:r>
              <w:rPr>
                <w:sz w:val="15"/>
              </w:rPr>
              <w:t>Validate delivered work against requirements/UAT</w:t>
            </w:r>
          </w:p>
        </w:tc>
        <w:tc>
          <w:tcPr>
            <w:tcW w:type="dxa" w:w="3240"/>
            <w:tcMar>
              <w:top w:w="70" w:type="dxa"/>
              <w:start w:w="100" w:type="dxa"/>
              <w:bottom w:w="70" w:type="dxa"/>
              <w:end w:w="100" w:type="dxa"/>
            </w:tcMar>
            <w:vAlign w:val="top"/>
          </w:tcPr>
          <w:p>
            <w:pPr>
              <w:spacing w:after="0" w:line="240" w:lineRule="auto"/>
            </w:pPr>
            <w:r>
              <w:rPr>
                <w:sz w:val="15"/>
              </w:rPr>
              <w:t>UAT and requirements documentation at InfoDevelopers; development/QA collaboration.</w:t>
            </w:r>
          </w:p>
        </w:tc>
        <w:tc>
          <w:tcPr>
            <w:tcW w:type="dxa" w:w="1224"/>
            <w:tcMar>
              <w:top w:w="70" w:type="dxa"/>
              <w:start w:w="100" w:type="dxa"/>
              <w:bottom w:w="70" w:type="dxa"/>
              <w:end w:w="100" w:type="dxa"/>
            </w:tcMar>
            <w:vAlign w:val="top"/>
          </w:tcPr>
          <w:p>
            <w:pPr>
              <w:spacing w:after="0" w:line="240" w:lineRule="auto"/>
            </w:pPr>
            <w:r>
              <w:rPr>
                <w:sz w:val="15"/>
              </w:rPr>
              <w:t>STRONG</w:t>
            </w:r>
          </w:p>
        </w:tc>
        <w:tc>
          <w:tcPr>
            <w:tcW w:type="dxa" w:w="3384"/>
            <w:tcMar>
              <w:top w:w="70" w:type="dxa"/>
              <w:start w:w="100" w:type="dxa"/>
              <w:bottom w:w="70" w:type="dxa"/>
              <w:end w:w="100" w:type="dxa"/>
            </w:tcMar>
            <w:vAlign w:val="top"/>
          </w:tcPr>
          <w:p>
            <w:pPr>
              <w:spacing w:after="0" w:line="240" w:lineRule="auto"/>
            </w:pPr>
            <w:r>
              <w:rPr>
                <w:sz w:val="15"/>
              </w:rPr>
              <w:t>Use direct experience, without claiming sole QA sign-off.</w:t>
            </w:r>
          </w:p>
        </w:tc>
      </w:tr>
      <w:tr>
        <w:trPr>
          <w:cantSplit/>
        </w:trPr>
        <w:tc>
          <w:tcPr>
            <w:tcW w:type="dxa" w:w="2664"/>
            <w:tcMar>
              <w:top w:w="70" w:type="dxa"/>
              <w:start w:w="100" w:type="dxa"/>
              <w:bottom w:w="70" w:type="dxa"/>
              <w:end w:w="100" w:type="dxa"/>
            </w:tcMar>
            <w:vAlign w:val="top"/>
            <w:shd w:fill="F6F8FB"/>
          </w:tcPr>
          <w:p>
            <w:pPr>
              <w:spacing w:after="0" w:line="240" w:lineRule="auto"/>
            </w:pPr>
            <w:r>
              <w:rPr>
                <w:sz w:val="15"/>
              </w:rPr>
              <w:t>LLMs, AI agents, autonomous workflows</w:t>
            </w:r>
          </w:p>
        </w:tc>
        <w:tc>
          <w:tcPr>
            <w:tcW w:type="dxa" w:w="3240"/>
            <w:tcMar>
              <w:top w:w="70" w:type="dxa"/>
              <w:start w:w="100" w:type="dxa"/>
              <w:bottom w:w="70" w:type="dxa"/>
              <w:end w:w="100" w:type="dxa"/>
            </w:tcMar>
            <w:vAlign w:val="top"/>
            <w:shd w:fill="F6F8FB"/>
          </w:tcPr>
          <w:p>
            <w:pPr>
              <w:spacing w:after="0" w:line="240" w:lineRule="auto"/>
            </w:pPr>
            <w:r>
              <w:rPr>
                <w:sz w:val="15"/>
              </w:rPr>
              <w:t>Website discusses responsible AI as an opinion/field-note topic; sources do not establish professional implementation experience.</w:t>
            </w:r>
          </w:p>
        </w:tc>
        <w:tc>
          <w:tcPr>
            <w:tcW w:type="dxa" w:w="1224"/>
            <w:tcMar>
              <w:top w:w="70" w:type="dxa"/>
              <w:start w:w="100" w:type="dxa"/>
              <w:bottom w:w="70" w:type="dxa"/>
              <w:end w:w="100" w:type="dxa"/>
            </w:tcMar>
            <w:vAlign w:val="top"/>
            <w:shd w:fill="F6F8FB"/>
          </w:tcPr>
          <w:p>
            <w:pPr>
              <w:spacing w:after="0" w:line="240" w:lineRule="auto"/>
            </w:pPr>
            <w:r>
              <w:rPr>
                <w:sz w:val="15"/>
              </w:rPr>
              <w:t>NO EVIDENCE</w:t>
            </w:r>
          </w:p>
        </w:tc>
        <w:tc>
          <w:tcPr>
            <w:tcW w:type="dxa" w:w="3384"/>
            <w:tcMar>
              <w:top w:w="70" w:type="dxa"/>
              <w:start w:w="100" w:type="dxa"/>
              <w:bottom w:w="70" w:type="dxa"/>
              <w:end w:w="100" w:type="dxa"/>
            </w:tcMar>
            <w:vAlign w:val="top"/>
            <w:shd w:fill="F6F8FB"/>
          </w:tcPr>
          <w:p>
            <w:pPr>
              <w:spacing w:after="0" w:line="240" w:lineRule="auto"/>
            </w:pPr>
            <w:r>
              <w:rPr>
                <w:sz w:val="15"/>
              </w:rPr>
              <w:t>Do not list as practical skill unless separately confirmed.</w:t>
            </w:r>
          </w:p>
        </w:tc>
      </w:tr>
      <w:tr>
        <w:trPr>
          <w:cantSplit/>
        </w:trPr>
        <w:tc>
          <w:tcPr>
            <w:tcW w:type="dxa" w:w="2664"/>
            <w:tcMar>
              <w:top w:w="70" w:type="dxa"/>
              <w:start w:w="100" w:type="dxa"/>
              <w:bottom w:w="70" w:type="dxa"/>
              <w:end w:w="100" w:type="dxa"/>
            </w:tcMar>
            <w:vAlign w:val="top"/>
          </w:tcPr>
          <w:p>
            <w:pPr>
              <w:spacing w:after="0" w:line="240" w:lineRule="auto"/>
            </w:pPr>
            <w:r>
              <w:rPr>
                <w:sz w:val="15"/>
              </w:rPr>
              <w:t>AI quality, ethics, security, compliance and governance</w:t>
            </w:r>
          </w:p>
        </w:tc>
        <w:tc>
          <w:tcPr>
            <w:tcW w:type="dxa" w:w="3240"/>
            <w:tcMar>
              <w:top w:w="70" w:type="dxa"/>
              <w:start w:w="100" w:type="dxa"/>
              <w:bottom w:w="70" w:type="dxa"/>
              <w:end w:w="100" w:type="dxa"/>
            </w:tcMar>
            <w:vAlign w:val="top"/>
          </w:tcPr>
          <w:p>
            <w:pPr>
              <w:spacing w:after="0" w:line="240" w:lineRule="auto"/>
            </w:pPr>
            <w:r>
              <w:rPr>
                <w:sz w:val="15"/>
              </w:rPr>
              <w:t>No documented professional delivery experience in these specific areas.</w:t>
            </w:r>
          </w:p>
        </w:tc>
        <w:tc>
          <w:tcPr>
            <w:tcW w:type="dxa" w:w="1224"/>
            <w:tcMar>
              <w:top w:w="70" w:type="dxa"/>
              <w:start w:w="100" w:type="dxa"/>
              <w:bottom w:w="70" w:type="dxa"/>
              <w:end w:w="100" w:type="dxa"/>
            </w:tcMar>
            <w:vAlign w:val="top"/>
          </w:tcPr>
          <w:p>
            <w:pPr>
              <w:spacing w:after="0" w:line="240" w:lineRule="auto"/>
            </w:pPr>
            <w:r>
              <w:rPr>
                <w:sz w:val="15"/>
              </w:rPr>
              <w:t>NO EVIDENCE</w:t>
            </w:r>
          </w:p>
        </w:tc>
        <w:tc>
          <w:tcPr>
            <w:tcW w:type="dxa" w:w="3384"/>
            <w:tcMar>
              <w:top w:w="70" w:type="dxa"/>
              <w:start w:w="100" w:type="dxa"/>
              <w:bottom w:w="70" w:type="dxa"/>
              <w:end w:w="100" w:type="dxa"/>
            </w:tcMar>
            <w:vAlign w:val="top"/>
          </w:tcPr>
          <w:p>
            <w:pPr>
              <w:spacing w:after="0" w:line="240" w:lineRule="auto"/>
            </w:pPr>
            <w:r>
              <w:rPr>
                <w:sz w:val="15"/>
              </w:rPr>
              <w:t>Material role gap. Explore only if willing to discuss learning/familiarity honestly.</w:t>
            </w:r>
          </w:p>
        </w:tc>
      </w:tr>
      <w:tr>
        <w:trPr>
          <w:cantSplit/>
        </w:trPr>
        <w:tc>
          <w:tcPr>
            <w:tcW w:type="dxa" w:w="2664"/>
            <w:tcMar>
              <w:top w:w="70" w:type="dxa"/>
              <w:start w:w="100" w:type="dxa"/>
              <w:bottom w:w="70" w:type="dxa"/>
              <w:end w:w="100" w:type="dxa"/>
            </w:tcMar>
            <w:vAlign w:val="top"/>
            <w:shd w:fill="F6F8FB"/>
          </w:tcPr>
          <w:p>
            <w:pPr>
              <w:spacing w:after="0" w:line="240" w:lineRule="auto"/>
            </w:pPr>
            <w:r>
              <w:rPr>
                <w:sz w:val="15"/>
              </w:rPr>
              <w:t>Technical specification/architecture ownership</w:t>
            </w:r>
          </w:p>
        </w:tc>
        <w:tc>
          <w:tcPr>
            <w:tcW w:type="dxa" w:w="3240"/>
            <w:tcMar>
              <w:top w:w="70" w:type="dxa"/>
              <w:start w:w="100" w:type="dxa"/>
              <w:bottom w:w="70" w:type="dxa"/>
              <w:end w:w="100" w:type="dxa"/>
            </w:tcMar>
            <w:vAlign w:val="top"/>
            <w:shd w:fill="F6F8FB"/>
          </w:tcPr>
          <w:p>
            <w:pPr>
              <w:spacing w:after="0" w:line="240" w:lineRule="auto"/>
            </w:pPr>
            <w:r>
              <w:rPr>
                <w:sz w:val="15"/>
              </w:rPr>
              <w:t>Developer and analyst foundations support technical collaboration, but architecture accountability is not established.</w:t>
            </w:r>
          </w:p>
        </w:tc>
        <w:tc>
          <w:tcPr>
            <w:tcW w:type="dxa" w:w="1224"/>
            <w:tcMar>
              <w:top w:w="70" w:type="dxa"/>
              <w:start w:w="100" w:type="dxa"/>
              <w:bottom w:w="70" w:type="dxa"/>
              <w:end w:w="100" w:type="dxa"/>
            </w:tcMar>
            <w:vAlign w:val="top"/>
            <w:shd w:fill="F6F8FB"/>
          </w:tcPr>
          <w:p>
            <w:pPr>
              <w:spacing w:after="0" w:line="240" w:lineRule="auto"/>
            </w:pPr>
            <w:r>
              <w:rPr>
                <w:sz w:val="15"/>
              </w:rPr>
              <w:t>PARTIAL</w:t>
            </w:r>
          </w:p>
        </w:tc>
        <w:tc>
          <w:tcPr>
            <w:tcW w:type="dxa" w:w="3384"/>
            <w:tcMar>
              <w:top w:w="70" w:type="dxa"/>
              <w:start w:w="100" w:type="dxa"/>
              <w:bottom w:w="70" w:type="dxa"/>
              <w:end w:w="100" w:type="dxa"/>
            </w:tcMar>
            <w:vAlign w:val="top"/>
            <w:shd w:fill="F6F8FB"/>
          </w:tcPr>
          <w:p>
            <w:pPr>
              <w:spacing w:after="0" w:line="240" w:lineRule="auto"/>
            </w:pPr>
            <w:r>
              <w:rPr>
                <w:sz w:val="15"/>
              </w:rPr>
              <w:t>Present as able to coordinate with technical leads; do not claim design authority.</w:t>
            </w:r>
          </w:p>
        </w:tc>
      </w:tr>
    </w:tbl>
    <w:p>
      <w:pPr>
        <w:spacing w:after="0"/>
      </w:pPr>
    </w:p>
    <w:p>
      <w:pPr>
        <w:keepLines/>
        <w:spacing w:after="44"/>
      </w:pPr>
      <w:r>
        <w:rPr>
          <w:i w:val="0"/>
        </w:rPr>
        <w:t>Recommended base CV: Delivery Lead / Technical Delivery Lead. Application judgment: strongest match in requirements, delivery coordination, UAT and releases; moderate overall fit because the AI workflow/security/governance requirements are not evidenced and may be substantive rather than optional.</w:t>
      </w:r>
    </w:p>
    <w:p>
      <w:pPr>
        <w:pStyle w:val="Heading2"/>
      </w:pPr>
      <w:r>
        <w:t>Vacancy C: I/S Agile Project Manager I | Mutual of Omaha (screened out)</w:t>
      </w:r>
    </w:p>
    <w:p>
      <w:pPr>
        <w:keepLines/>
        <w:spacing w:after="44"/>
      </w:pPr>
      <w:r>
        <w:rPr>
          <w:i w:val="0"/>
        </w:rPr>
        <w:t>Official listing: https://www.mutualofomaha.com/careers/jobs/detail/505300 | Job No. 505300, checked 17 Oct 2026. The current employer page calls the position remote and open until filled, but says applicants must not now or in the future require sponsorship and notes periodic in-person attendance for PI planning, training or other business-critical meetings. The page does not confirm that the role can be performed from Nepal. [3]</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7365D"/>
            <w:tcMar>
              <w:top w:w="80" w:type="dxa"/>
              <w:start w:w="100" w:type="dxa"/>
              <w:bottom w:w="80" w:type="dxa"/>
              <w:end w:w="100" w:type="dxa"/>
            </w:tcMar>
            <w:vAlign w:val="center"/>
          </w:tcPr>
          <w:p>
            <w:pPr>
              <w:spacing w:after="0"/>
            </w:pPr>
            <w:r>
              <w:rPr>
                <w:b/>
                <w:color w:val="FFFFFF"/>
                <w:sz w:val="15"/>
              </w:rPr>
              <w:t>Requirement / constraint</w:t>
            </w:r>
          </w:p>
        </w:tc>
        <w:tc>
          <w:tcPr>
            <w:tcW w:type="dxa" w:w="2541"/>
            <w:shd w:fill="17365D"/>
            <w:tcMar>
              <w:top w:w="80" w:type="dxa"/>
              <w:start w:w="100" w:type="dxa"/>
              <w:bottom w:w="80" w:type="dxa"/>
              <w:end w:w="100" w:type="dxa"/>
            </w:tcMar>
            <w:vAlign w:val="center"/>
          </w:tcPr>
          <w:p>
            <w:pPr>
              <w:spacing w:after="0"/>
            </w:pPr>
            <w:r>
              <w:rPr>
                <w:b/>
                <w:color w:val="FFFFFF"/>
                <w:sz w:val="15"/>
              </w:rPr>
              <w:t>Evidence</w:t>
            </w:r>
          </w:p>
        </w:tc>
        <w:tc>
          <w:tcPr>
            <w:tcW w:type="dxa" w:w="2541"/>
            <w:shd w:fill="17365D"/>
            <w:tcMar>
              <w:top w:w="80" w:type="dxa"/>
              <w:start w:w="100" w:type="dxa"/>
              <w:bottom w:w="80" w:type="dxa"/>
              <w:end w:w="100" w:type="dxa"/>
            </w:tcMar>
            <w:vAlign w:val="center"/>
          </w:tcPr>
          <w:p>
            <w:pPr>
              <w:spacing w:after="0"/>
            </w:pPr>
            <w:r>
              <w:rPr>
                <w:b/>
                <w:color w:val="FFFFFF"/>
                <w:sz w:val="15"/>
              </w:rPr>
              <w:t>Match</w:t>
            </w:r>
          </w:p>
        </w:tc>
        <w:tc>
          <w:tcPr>
            <w:tcW w:type="dxa" w:w="2541"/>
            <w:shd w:fill="17365D"/>
            <w:tcMar>
              <w:top w:w="80" w:type="dxa"/>
              <w:start w:w="100" w:type="dxa"/>
              <w:bottom w:w="80" w:type="dxa"/>
              <w:end w:w="100" w:type="dxa"/>
            </w:tcMar>
            <w:vAlign w:val="center"/>
          </w:tcPr>
          <w:p>
            <w:pPr>
              <w:spacing w:after="0"/>
            </w:pPr>
            <w:r>
              <w:rPr>
                <w:b/>
                <w:color w:val="FFFFFF"/>
                <w:sz w:val="15"/>
              </w:rPr>
              <w:t>Decision</w:t>
            </w:r>
          </w:p>
        </w:tc>
      </w:tr>
      <w:tr>
        <w:trPr>
          <w:cantSplit/>
        </w:trPr>
        <w:tc>
          <w:tcPr>
            <w:tcW w:type="dxa" w:w="2592"/>
            <w:tcMar>
              <w:top w:w="70" w:type="dxa"/>
              <w:start w:w="100" w:type="dxa"/>
              <w:bottom w:w="70" w:type="dxa"/>
              <w:end w:w="100" w:type="dxa"/>
            </w:tcMar>
            <w:vAlign w:val="top"/>
          </w:tcPr>
          <w:p>
            <w:pPr>
              <w:spacing w:after="0" w:line="240" w:lineRule="auto"/>
            </w:pPr>
            <w:r>
              <w:rPr>
                <w:sz w:val="15"/>
              </w:rPr>
              <w:t>Scaled Agile / Scrum facilitation</w:t>
            </w:r>
          </w:p>
        </w:tc>
        <w:tc>
          <w:tcPr>
            <w:tcW w:type="dxa" w:w="3312"/>
            <w:tcMar>
              <w:top w:w="70" w:type="dxa"/>
              <w:start w:w="100" w:type="dxa"/>
              <w:bottom w:w="70" w:type="dxa"/>
              <w:end w:w="100" w:type="dxa"/>
            </w:tcMar>
            <w:vAlign w:val="top"/>
          </w:tcPr>
          <w:p>
            <w:pPr>
              <w:spacing w:after="0" w:line="240" w:lineRule="auto"/>
            </w:pPr>
            <w:r>
              <w:rPr>
                <w:sz w:val="15"/>
              </w:rPr>
              <w:t>Four SAFe 6 credentials listed; Agile team facilitation, metrics and coordination documented.</w:t>
            </w:r>
          </w:p>
        </w:tc>
        <w:tc>
          <w:tcPr>
            <w:tcW w:type="dxa" w:w="1440"/>
            <w:tcMar>
              <w:top w:w="70" w:type="dxa"/>
              <w:start w:w="100" w:type="dxa"/>
              <w:bottom w:w="70" w:type="dxa"/>
              <w:end w:w="100" w:type="dxa"/>
            </w:tcMar>
            <w:vAlign w:val="top"/>
          </w:tcPr>
          <w:p>
            <w:pPr>
              <w:spacing w:after="0" w:line="240" w:lineRule="auto"/>
            </w:pPr>
            <w:r>
              <w:rPr>
                <w:sz w:val="15"/>
              </w:rPr>
              <w:t>STRONG</w:t>
            </w:r>
          </w:p>
        </w:tc>
        <w:tc>
          <w:tcPr>
            <w:tcW w:type="dxa" w:w="3168"/>
            <w:tcMar>
              <w:top w:w="70" w:type="dxa"/>
              <w:start w:w="100" w:type="dxa"/>
              <w:bottom w:w="70" w:type="dxa"/>
              <w:end w:w="100" w:type="dxa"/>
            </w:tcMar>
            <w:vAlign w:val="top"/>
          </w:tcPr>
          <w:p>
            <w:pPr>
              <w:spacing w:after="0" w:line="240" w:lineRule="auto"/>
            </w:pPr>
            <w:r>
              <w:rPr>
                <w:sz w:val="15"/>
              </w:rPr>
              <w:t>Good functional fit.</w:t>
            </w:r>
          </w:p>
        </w:tc>
      </w:tr>
      <w:tr>
        <w:trPr>
          <w:cantSplit/>
        </w:trPr>
        <w:tc>
          <w:tcPr>
            <w:tcW w:type="dxa" w:w="2592"/>
            <w:tcMar>
              <w:top w:w="70" w:type="dxa"/>
              <w:start w:w="100" w:type="dxa"/>
              <w:bottom w:w="70" w:type="dxa"/>
              <w:end w:w="100" w:type="dxa"/>
            </w:tcMar>
            <w:vAlign w:val="top"/>
            <w:shd w:fill="F6F8FB"/>
          </w:tcPr>
          <w:p>
            <w:pPr>
              <w:spacing w:after="0" w:line="240" w:lineRule="auto"/>
            </w:pPr>
            <w:r>
              <w:rPr>
                <w:sz w:val="15"/>
              </w:rPr>
              <w:t>5+ years IT project management</w:t>
            </w:r>
          </w:p>
        </w:tc>
        <w:tc>
          <w:tcPr>
            <w:tcW w:type="dxa" w:w="3312"/>
            <w:tcMar>
              <w:top w:w="70" w:type="dxa"/>
              <w:start w:w="100" w:type="dxa"/>
              <w:bottom w:w="70" w:type="dxa"/>
              <w:end w:w="100" w:type="dxa"/>
            </w:tcMar>
            <w:vAlign w:val="top"/>
            <w:shd w:fill="F6F8FB"/>
          </w:tcPr>
          <w:p>
            <w:pPr>
              <w:spacing w:after="0" w:line="240" w:lineRule="auto"/>
            </w:pPr>
            <w:r>
              <w:rPr>
                <w:sz w:val="15"/>
              </w:rPr>
              <w:t>PM roles began Dec 2021; as of Oct 2026 approximately 4 years 10 months.</w:t>
            </w:r>
          </w:p>
        </w:tc>
        <w:tc>
          <w:tcPr>
            <w:tcW w:type="dxa" w:w="1440"/>
            <w:tcMar>
              <w:top w:w="70" w:type="dxa"/>
              <w:start w:w="100" w:type="dxa"/>
              <w:bottom w:w="70" w:type="dxa"/>
              <w:end w:w="100" w:type="dxa"/>
            </w:tcMar>
            <w:vAlign w:val="top"/>
            <w:shd w:fill="F6F8FB"/>
          </w:tcPr>
          <w:p>
            <w:pPr>
              <w:spacing w:after="0" w:line="240" w:lineRule="auto"/>
            </w:pPr>
            <w:r>
              <w:rPr>
                <w:sz w:val="15"/>
              </w:rPr>
              <w:t>CLOSE / PARTIAL</w:t>
            </w:r>
          </w:p>
        </w:tc>
        <w:tc>
          <w:tcPr>
            <w:tcW w:type="dxa" w:w="3168"/>
            <w:tcMar>
              <w:top w:w="70" w:type="dxa"/>
              <w:start w:w="100" w:type="dxa"/>
              <w:bottom w:w="70" w:type="dxa"/>
              <w:end w:w="100" w:type="dxa"/>
            </w:tcMar>
            <w:vAlign w:val="top"/>
            <w:shd w:fill="F6F8FB"/>
          </w:tcPr>
          <w:p>
            <w:pPr>
              <w:spacing w:after="0" w:line="240" w:lineRule="auto"/>
            </w:pPr>
            <w:r>
              <w:rPr>
                <w:sz w:val="15"/>
              </w:rPr>
              <w:t>Do not round up to 5+ before Dec 2026.</w:t>
            </w:r>
          </w:p>
        </w:tc>
      </w:tr>
      <w:tr>
        <w:trPr>
          <w:cantSplit/>
        </w:trPr>
        <w:tc>
          <w:tcPr>
            <w:tcW w:type="dxa" w:w="2592"/>
            <w:tcMar>
              <w:top w:w="70" w:type="dxa"/>
              <w:start w:w="100" w:type="dxa"/>
              <w:bottom w:w="70" w:type="dxa"/>
              <w:end w:w="100" w:type="dxa"/>
            </w:tcMar>
            <w:vAlign w:val="top"/>
          </w:tcPr>
          <w:p>
            <w:pPr>
              <w:spacing w:after="0" w:line="240" w:lineRule="auto"/>
            </w:pPr>
            <w:r>
              <w:rPr>
                <w:sz w:val="15"/>
              </w:rPr>
              <w:t>Project financial analysis / budgets</w:t>
            </w:r>
          </w:p>
        </w:tc>
        <w:tc>
          <w:tcPr>
            <w:tcW w:type="dxa" w:w="3312"/>
            <w:tcMar>
              <w:top w:w="70" w:type="dxa"/>
              <w:start w:w="100" w:type="dxa"/>
              <w:bottom w:w="70" w:type="dxa"/>
              <w:end w:w="100" w:type="dxa"/>
            </w:tcMar>
            <w:vAlign w:val="top"/>
          </w:tcPr>
          <w:p>
            <w:pPr>
              <w:spacing w:after="0" w:line="240" w:lineRule="auto"/>
            </w:pPr>
            <w:r>
              <w:rPr>
                <w:sz w:val="15"/>
              </w:rPr>
              <w:t>No evidence of budget ownership or financial analysis.</w:t>
            </w:r>
          </w:p>
        </w:tc>
        <w:tc>
          <w:tcPr>
            <w:tcW w:type="dxa" w:w="1440"/>
            <w:tcMar>
              <w:top w:w="70" w:type="dxa"/>
              <w:start w:w="100" w:type="dxa"/>
              <w:bottom w:w="70" w:type="dxa"/>
              <w:end w:w="100" w:type="dxa"/>
            </w:tcMar>
            <w:vAlign w:val="top"/>
          </w:tcPr>
          <w:p>
            <w:pPr>
              <w:spacing w:after="0" w:line="240" w:lineRule="auto"/>
            </w:pPr>
            <w:r>
              <w:rPr>
                <w:sz w:val="15"/>
              </w:rPr>
              <w:t>NO EVIDENCE</w:t>
            </w:r>
          </w:p>
        </w:tc>
        <w:tc>
          <w:tcPr>
            <w:tcW w:type="dxa" w:w="3168"/>
            <w:tcMar>
              <w:top w:w="70" w:type="dxa"/>
              <w:start w:w="100" w:type="dxa"/>
              <w:bottom w:w="70" w:type="dxa"/>
              <w:end w:w="100" w:type="dxa"/>
            </w:tcMar>
            <w:vAlign w:val="top"/>
          </w:tcPr>
          <w:p>
            <w:pPr>
              <w:spacing w:after="0" w:line="240" w:lineRule="auto"/>
            </w:pPr>
            <w:r>
              <w:rPr>
                <w:sz w:val="15"/>
              </w:rPr>
              <w:t>Do not claim.</w:t>
            </w:r>
          </w:p>
        </w:tc>
      </w:tr>
      <w:tr>
        <w:trPr>
          <w:cantSplit/>
        </w:trPr>
        <w:tc>
          <w:tcPr>
            <w:tcW w:type="dxa" w:w="2592"/>
            <w:tcMar>
              <w:top w:w="70" w:type="dxa"/>
              <w:start w:w="100" w:type="dxa"/>
              <w:bottom w:w="70" w:type="dxa"/>
              <w:end w:w="100" w:type="dxa"/>
            </w:tcMar>
            <w:vAlign w:val="top"/>
            <w:shd w:fill="F6F8FB"/>
          </w:tcPr>
          <w:p>
            <w:pPr>
              <w:spacing w:after="0" w:line="240" w:lineRule="auto"/>
            </w:pPr>
            <w:r>
              <w:rPr>
                <w:sz w:val="15"/>
              </w:rPr>
              <w:t>No sponsorship; periodic onsite attendance; Nepal eligibility not stated</w:t>
            </w:r>
          </w:p>
        </w:tc>
        <w:tc>
          <w:tcPr>
            <w:tcW w:type="dxa" w:w="3312"/>
            <w:tcMar>
              <w:top w:w="70" w:type="dxa"/>
              <w:start w:w="100" w:type="dxa"/>
              <w:bottom w:w="70" w:type="dxa"/>
              <w:end w:w="100" w:type="dxa"/>
            </w:tcMar>
            <w:vAlign w:val="top"/>
            <w:shd w:fill="F6F8FB"/>
          </w:tcPr>
          <w:p>
            <w:pPr>
              <w:spacing w:after="0" w:line="240" w:lineRule="auto"/>
            </w:pPr>
            <w:r>
              <w:rPr>
                <w:sz w:val="15"/>
              </w:rPr>
              <w:t>Candidate is based in Nepal; no US work authorization or ability to attend US onsite meetings supplied.</w:t>
            </w:r>
          </w:p>
        </w:tc>
        <w:tc>
          <w:tcPr>
            <w:tcW w:type="dxa" w:w="1440"/>
            <w:tcMar>
              <w:top w:w="70" w:type="dxa"/>
              <w:start w:w="100" w:type="dxa"/>
              <w:bottom w:w="70" w:type="dxa"/>
              <w:end w:w="100" w:type="dxa"/>
            </w:tcMar>
            <w:vAlign w:val="top"/>
            <w:shd w:fill="F6F8FB"/>
          </w:tcPr>
          <w:p>
            <w:pPr>
              <w:spacing w:after="0" w:line="240" w:lineRule="auto"/>
            </w:pPr>
            <w:r>
              <w:rPr>
                <w:sz w:val="15"/>
              </w:rPr>
              <w:t>ELIGIBILITY / LOCATION RISK</w:t>
            </w:r>
          </w:p>
        </w:tc>
        <w:tc>
          <w:tcPr>
            <w:tcW w:type="dxa" w:w="3168"/>
            <w:tcMar>
              <w:top w:w="70" w:type="dxa"/>
              <w:start w:w="100" w:type="dxa"/>
              <w:bottom w:w="70" w:type="dxa"/>
              <w:end w:w="100" w:type="dxa"/>
            </w:tcMar>
            <w:vAlign w:val="top"/>
            <w:shd w:fill="F6F8FB"/>
          </w:tcPr>
          <w:p>
            <w:pPr>
              <w:spacing w:after="0" w:line="240" w:lineRule="auto"/>
            </w:pPr>
            <w:r>
              <w:rPr>
                <w:sz w:val="15"/>
              </w:rPr>
              <w:t>Do not prioritize unless Mutual of Omaha confirms Nepal-based employment/contracting and attendance feasibility.</w:t>
            </w:r>
          </w:p>
        </w:tc>
      </w:tr>
    </w:tbl>
    <w:p>
      <w:pPr>
        <w:spacing w:after="0"/>
      </w:pPr>
    </w:p>
    <w:p>
      <w:pPr>
        <w:pStyle w:val="Heading1"/>
      </w:pPr>
      <w:r>
        <w:t>4. What the 2026 market is asking for</w:t>
      </w:r>
    </w:p>
    <w:p>
      <w:pPr>
        <w:keepLines/>
        <w:spacing w:after="44"/>
      </w:pPr>
      <w:r>
        <w:rPr>
          <w:i w:val="0"/>
        </w:rPr>
        <w:t>Across the reviewed descriptions, recurring requirements include SDLC understanding, requirements translation, coordination among engineering/QA/product/stakeholders, planning and delivery tracking, risk/issue/dependency management, documentation, Agile facilitation, Jira/Confluence or equivalent tooling, change/release readiness, and clear status communication. These align with your source-supported experience. Requirements that recur in more technical or enterprise-scoped roles—but are not established in your materials—include budgets/financial analysis, vendor contracts, cloud/DevOps/CI-CD expertise, AI/ML delivery and AI governance, formal portfolio ownership, and direct reports. Do not add these terms as skills to satisfy ATS filters unless you have relevant, explainable experience.</w:t>
      </w:r>
    </w:p>
    <w:p>
      <w:pPr>
        <w:keepLines/>
        <w:spacing w:after="44"/>
      </w:pPr>
      <w:r>
        <w:rPr>
          <w:i w:val="0"/>
        </w:rPr>
        <w:t>Remote screen: do not treat “remote” as “work from anywhere.” Mutual of Omaha’s current page prohibits sponsorship and requires periodic in-person attendance, but does not establish Nepal eligibility; proceed only if the employer confirms the location/work arrangement. Tudoholic explicitly states Nepal and India are eligible locations on its employer page, although a third-party mirror marks an earlier deadline expired, so first confirm the role is still accepting applications. The Omnicom listing is a current lead to verify directly before applying.</w:t>
      </w:r>
    </w:p>
    <w:p>
      <w:pPr>
        <w:pStyle w:val="Heading1"/>
      </w:pPr>
      <w:r>
        <w:t>5. LinkedIn recommendations</w:t>
      </w:r>
    </w:p>
    <w:p>
      <w:pPr>
        <w:pStyle w:val="Heading2"/>
      </w:pPr>
      <w:r>
        <w:t>Recommended headline</w:t>
      </w:r>
    </w:p>
    <w:p>
      <w:pPr>
        <w:keepLines/>
        <w:spacing w:after="44"/>
      </w:pPr>
      <w:r>
        <w:rPr>
          <w:i w:val="0"/>
        </w:rPr>
        <w:t>Project Manager II | Technical &amp; Agile Delivery | Healthcare Analytics | SAFe 6 (SASM, POPM, SSM, SP) | US-Nepal-India Collaboration</w:t>
      </w:r>
    </w:p>
    <w:p>
      <w:pPr>
        <w:pStyle w:val="Heading2"/>
      </w:pPr>
      <w:r>
        <w:t>Recommended About section</w:t>
      </w:r>
    </w:p>
    <w:p>
      <w:pPr>
        <w:keepLines/>
        <w:spacing w:after="44"/>
      </w:pPr>
      <w:r>
        <w:rPr>
          <w:i w:val="0"/>
        </w:rPr>
        <w:t>I work at the intersection of software engineering, business/system analysis, and Agile delivery. Across 10+ years in technology roles, I have moved from building C#/.NET and ERP solutions to translating enterprise requirements and coordinating software delivery. I am currently a Project Manager II at Infinite Computer Solutions, coordinating two concurrent Scrum/Kanban teams supporting healthcare analytics across the US, Nepal, and India.</w:t>
        <w:br/>
        <w:br/>
        <w:t>My delivery focus is practical: make priorities and dependencies visible, surface risks early, support team execution, communicate clearly across time zones, and coordinate releases so engineering, QA, product, and support teams are ready. My release-management work includes CAB and approval workflows, go/no-go readiness, playbooks, and cross-team coordination.</w:t>
        <w:br/>
        <w:br/>
        <w:t>Before project management, I worked in business/system analysis for enterprise projects, including banking and national investment/fund processes, and began my career as a C#/.NET developer working with ERP systems and integrations. That background helps me connect business needs with technical execution without losing sight of delivery details.</w:t>
        <w:br/>
        <w:br/>
        <w:t>I also teach ICT Project Management and Agile methods on a part-time basis and hold SAFe 6 credentials in Advanced Scrum Master, Product Owner/Product Manager, Scrum Master, and Practitioner. I am interested in Technical Project Manager, Agile Project Manager, and Delivery Lead opportunities where technical understanding, transparent execution, and cross-functional collaboration matter.</w:t>
      </w:r>
    </w:p>
    <w:p>
      <w:pPr>
        <w:pStyle w:val="Heading2"/>
      </w:pPr>
      <w:r>
        <w:t>6. Personal website recommendations</w:t>
      </w:r>
    </w:p>
    <w:p>
      <w:pPr>
        <w:keepLines/>
        <w:spacing w:after="44"/>
      </w:pPr>
      <w:r>
        <w:rPr>
          <w:i w:val="0"/>
        </w:rPr>
        <w:t>Suggested headline: “Technical Project Manager | Agile Delivery &amp; Release Management | Software Engineering + Systems Analysis.”</w:t>
      </w:r>
    </w:p>
    <w:p>
      <w:pPr>
        <w:keepLines/>
        <w:spacing w:after="44"/>
      </w:pPr>
      <w:r>
        <w:rPr>
          <w:i w:val="0"/>
        </w:rPr>
        <w:t>Suggested introduction: “I bring together software development, enterprise systems analysis, and Agile delivery to help teams make work visible and coordinate predictable releases. I currently coordinate two concurrent Scrum/Kanban teams supporting healthcare analytics across the US, Nepal, and India. My background spans C#/.NET and ERP integrations, requirements and UAT, risk/dependency tracking, and release readiness.”</w:t>
      </w:r>
    </w:p>
    <w:p>
      <w:pPr>
        <w:pStyle w:val="ListBullet"/>
        <w:keepLines/>
        <w:spacing w:after="52" w:line="254" w:lineRule="auto"/>
        <w:ind w:left="360" w:hanging="173"/>
      </w:pPr>
      <w:r>
        <w:rPr>
          <w:rFonts w:ascii="Arial" w:hAnsi="Arial"/>
          <w:sz w:val="18"/>
        </w:rPr>
        <w:t>Correct the career timeline: show APM Dec 2021-Mar 2023, PM I Mar 2023-Jul 2025, and PM II Jul 2025-present; show the employer transition on 16 Feb 2024 with no employment break. Remove “two promotions in under three years” because the confirmed dates exceed three years.</w:t>
      </w:r>
    </w:p>
    <w:p>
      <w:pPr>
        <w:pStyle w:val="ListBullet"/>
        <w:keepLines/>
        <w:spacing w:after="52" w:line="254" w:lineRule="auto"/>
        <w:ind w:left="360" w:hanging="173"/>
      </w:pPr>
      <w:r>
        <w:rPr>
          <w:rFonts w:ascii="Arial" w:hAnsi="Arial"/>
          <w:sz w:val="18"/>
        </w:rPr>
        <w:t>Remove “100+ releases” from the prominent top-of-page stat strip and keep it once in the healthcare delivery case study. Keep simulated Little’s Law / cycle-time / flow-efficiency figures unmistakably labeled as simulations rather than verified professional KPIs.</w:t>
      </w:r>
    </w:p>
    <w:p>
      <w:pPr>
        <w:pStyle w:val="ListBullet"/>
        <w:keepLines/>
        <w:spacing w:after="52" w:line="254" w:lineRule="auto"/>
        <w:ind w:left="360" w:hanging="173"/>
      </w:pPr>
      <w:r>
        <w:rPr>
          <w:rFonts w:ascii="Arial" w:hAnsi="Arial"/>
          <w:sz w:val="18"/>
        </w:rPr>
        <w:t>Link the four SAFe badges individually, but do not state “active” or imply current renewal unless current Credly status and expiry details are checked. Avoid portfolio claims such as “strategically overseeing a portfolio of complex Agile projects” unless portfolio authority can be evidenced; prefer team-level delivery coordination, risks, releases, and cross-functional execution.</w:t>
      </w:r>
    </w:p>
    <w:p>
      <w:pPr>
        <w:pStyle w:val="Heading1"/>
      </w:pPr>
      <w:r>
        <w:t>7. Repeatable job-description alignment workflow</w:t>
      </w:r>
    </w:p>
    <w:p>
      <w:pPr>
        <w:spacing w:after="80"/>
      </w:pPr>
      <w:r>
        <w:rPr>
          <w:b/>
        </w:rPr>
        <w:t xml:space="preserve">1. Capture the exact vacancy: </w:t>
      </w:r>
      <w:r>
        <w:t>Save the full job description, title, employer, location, date checked, deadline, employment type, and the source URL. Verify directly on the employer site where possible.</w:t>
      </w:r>
    </w:p>
    <w:p>
      <w:pPr>
        <w:spacing w:after="80"/>
      </w:pPr>
      <w:r>
        <w:rPr>
          <w:b/>
        </w:rPr>
        <w:t xml:space="preserve">2. Gate on eligibility: </w:t>
      </w:r>
      <w:r>
        <w:t>Check country-of-residence, time-zone, work authorization/sponsorship, language, travel, salary band, and application deadline before spending time tailoring.</w:t>
      </w:r>
    </w:p>
    <w:p>
      <w:pPr>
        <w:spacing w:after="80"/>
      </w:pPr>
      <w:r>
        <w:rPr>
          <w:b/>
        </w:rPr>
        <w:t xml:space="preserve">3. Extract requirements: </w:t>
      </w:r>
      <w:r>
        <w:t>Group as mandatory qualifications, preferred qualifications, responsibilities, technical requirements, Agile/methods, tools, industry, stakeholder/leadership, and scope of ownership.</w:t>
      </w:r>
    </w:p>
    <w:p>
      <w:pPr>
        <w:spacing w:after="80"/>
      </w:pPr>
      <w:r>
        <w:rPr>
          <w:b/>
        </w:rPr>
        <w:t xml:space="preserve">4. Map every material requirement: </w:t>
      </w:r>
      <w:r>
        <w:t>For each requirement, quote a short phrase, list supporting evidence and its source, classify strong/partial/weak/no evidence, and record clarifying questions. Absence from the CV is not proof of absence from the candidate’s history.</w:t>
      </w:r>
    </w:p>
    <w:p>
      <w:pPr>
        <w:spacing w:after="80"/>
      </w:pPr>
      <w:r>
        <w:rPr>
          <w:b/>
        </w:rPr>
        <w:t xml:space="preserve">5. Select a base CV: </w:t>
      </w:r>
      <w:r>
        <w:t>Technical Project Manager for engineering/SDLC and release coordination; Agile Project Manager for team execution and Agile practices; Delivery Lead for multi-team visibility, risks, dependencies and readiness.</w:t>
      </w:r>
    </w:p>
    <w:p>
      <w:pPr>
        <w:spacing w:after="80"/>
      </w:pPr>
      <w:r>
        <w:rPr>
          <w:b/>
        </w:rPr>
        <w:t xml:space="preserve">6. Tailor without changing facts: </w:t>
      </w:r>
      <w:r>
        <w:t>Adjust headline, summary, skills order and bullet selection. Use employer terminology only where it truthfully describes documented experience. Do not add unsupported keywords or silently promote coordination into ownership.</w:t>
      </w:r>
    </w:p>
    <w:p>
      <w:pPr>
        <w:spacing w:after="80"/>
      </w:pPr>
      <w:r>
        <w:rPr>
          <w:b/>
        </w:rPr>
        <w:t xml:space="preserve">7. Check gaps and claim provenance: </w:t>
      </w:r>
      <w:r>
        <w:t>Separate demonstrated matches, partial matches, clarification opportunities and genuine gaps. Do not mask a mandatory qualification gap through wording.</w:t>
      </w:r>
    </w:p>
    <w:p>
      <w:pPr>
        <w:spacing w:after="80"/>
      </w:pPr>
      <w:r>
        <w:rPr>
          <w:b/>
        </w:rPr>
        <w:t xml:space="preserve">8. Run final QA: </w:t>
      </w:r>
      <w:r>
        <w:t>Check dates/titles, consistency with evidence bank, ATS extraction, repetition, unsupported numbers, file text extraction, page breaks, and PDF/DOCX parity. Keep a dated copy of the JD used.</w:t>
      </w:r>
    </w:p>
    <w:p>
      <w:pPr>
        <w:pStyle w:val="Heading1"/>
      </w:pPr>
      <w:r>
        <w:t>8. Application strategy</w:t>
      </w:r>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shd w:fill="17365D"/>
            <w:tcMar>
              <w:top w:w="80" w:type="dxa"/>
              <w:start w:w="100" w:type="dxa"/>
              <w:bottom w:w="80" w:type="dxa"/>
              <w:end w:w="100" w:type="dxa"/>
            </w:tcMar>
            <w:vAlign w:val="center"/>
          </w:tcPr>
          <w:p>
            <w:pPr>
              <w:spacing w:after="0"/>
            </w:pPr>
            <w:r>
              <w:rPr>
                <w:b/>
                <w:color w:val="FFFFFF"/>
                <w:sz w:val="15"/>
              </w:rPr>
              <w:t>Target</w:t>
            </w:r>
          </w:p>
        </w:tc>
        <w:tc>
          <w:tcPr>
            <w:tcW w:type="dxa" w:w="2541"/>
            <w:shd w:fill="17365D"/>
            <w:tcMar>
              <w:top w:w="80" w:type="dxa"/>
              <w:start w:w="100" w:type="dxa"/>
              <w:bottom w:w="80" w:type="dxa"/>
              <w:end w:w="100" w:type="dxa"/>
            </w:tcMar>
            <w:vAlign w:val="center"/>
          </w:tcPr>
          <w:p>
            <w:pPr>
              <w:spacing w:after="0"/>
            </w:pPr>
            <w:r>
              <w:rPr>
                <w:b/>
                <w:color w:val="FFFFFF"/>
                <w:sz w:val="15"/>
              </w:rPr>
              <w:t>Use this CV</w:t>
            </w:r>
          </w:p>
        </w:tc>
        <w:tc>
          <w:tcPr>
            <w:tcW w:type="dxa" w:w="2541"/>
            <w:shd w:fill="17365D"/>
            <w:tcMar>
              <w:top w:w="80" w:type="dxa"/>
              <w:start w:w="100" w:type="dxa"/>
              <w:bottom w:w="80" w:type="dxa"/>
              <w:end w:w="100" w:type="dxa"/>
            </w:tcMar>
            <w:vAlign w:val="center"/>
          </w:tcPr>
          <w:p>
            <w:pPr>
              <w:spacing w:after="0"/>
            </w:pPr>
            <w:r>
              <w:rPr>
                <w:b/>
                <w:color w:val="FFFFFF"/>
                <w:sz w:val="15"/>
              </w:rPr>
              <w:t>Strong-match signals</w:t>
            </w:r>
          </w:p>
        </w:tc>
        <w:tc>
          <w:tcPr>
            <w:tcW w:type="dxa" w:w="2541"/>
            <w:shd w:fill="17365D"/>
            <w:tcMar>
              <w:top w:w="80" w:type="dxa"/>
              <w:start w:w="100" w:type="dxa"/>
              <w:bottom w:w="80" w:type="dxa"/>
              <w:end w:w="100" w:type="dxa"/>
            </w:tcMar>
            <w:vAlign w:val="center"/>
          </w:tcPr>
          <w:p>
            <w:pPr>
              <w:spacing w:after="0"/>
            </w:pPr>
            <w:r>
              <w:rPr>
                <w:b/>
                <w:color w:val="FFFFFF"/>
                <w:sz w:val="15"/>
              </w:rPr>
              <w:t>Interview evidence to prepare</w:t>
            </w:r>
          </w:p>
        </w:tc>
      </w:tr>
      <w:tr>
        <w:trPr>
          <w:cantSplit/>
        </w:trPr>
        <w:tc>
          <w:tcPr>
            <w:tcW w:type="dxa" w:w="1944"/>
            <w:tcMar>
              <w:top w:w="70" w:type="dxa"/>
              <w:start w:w="100" w:type="dxa"/>
              <w:bottom w:w="70" w:type="dxa"/>
              <w:end w:w="100" w:type="dxa"/>
            </w:tcMar>
            <w:vAlign w:val="top"/>
          </w:tcPr>
          <w:p>
            <w:pPr>
              <w:spacing w:after="0" w:line="240" w:lineRule="auto"/>
            </w:pPr>
            <w:r>
              <w:rPr>
                <w:sz w:val="15"/>
              </w:rPr>
              <w:t>Technical Project Manager</w:t>
            </w:r>
          </w:p>
        </w:tc>
        <w:tc>
          <w:tcPr>
            <w:tcW w:type="dxa" w:w="2088"/>
            <w:tcMar>
              <w:top w:w="70" w:type="dxa"/>
              <w:start w:w="100" w:type="dxa"/>
              <w:bottom w:w="70" w:type="dxa"/>
              <w:end w:w="100" w:type="dxa"/>
            </w:tcMar>
            <w:vAlign w:val="top"/>
          </w:tcPr>
          <w:p>
            <w:pPr>
              <w:spacing w:after="0" w:line="240" w:lineRule="auto"/>
            </w:pPr>
            <w:r>
              <w:rPr>
                <w:sz w:val="15"/>
              </w:rPr>
              <w:t>Technical Project Manager CV</w:t>
            </w:r>
          </w:p>
        </w:tc>
        <w:tc>
          <w:tcPr>
            <w:tcW w:type="dxa" w:w="3384"/>
            <w:tcMar>
              <w:top w:w="70" w:type="dxa"/>
              <w:start w:w="100" w:type="dxa"/>
              <w:bottom w:w="70" w:type="dxa"/>
              <w:end w:w="100" w:type="dxa"/>
            </w:tcMar>
            <w:vAlign w:val="top"/>
          </w:tcPr>
          <w:p>
            <w:pPr>
              <w:spacing w:after="0" w:line="240" w:lineRule="auto"/>
            </w:pPr>
            <w:r>
              <w:rPr>
                <w:sz w:val="15"/>
              </w:rPr>
              <w:t>SDLC, requirements-to-engineering translation, risks/dependencies, cross-functional teams, releases, UAT, technical systems context.</w:t>
            </w:r>
          </w:p>
        </w:tc>
        <w:tc>
          <w:tcPr>
            <w:tcW w:type="dxa" w:w="3168"/>
            <w:tcMar>
              <w:top w:w="70" w:type="dxa"/>
              <w:start w:w="100" w:type="dxa"/>
              <w:bottom w:w="70" w:type="dxa"/>
              <w:end w:w="100" w:type="dxa"/>
            </w:tcMar>
            <w:vAlign w:val="top"/>
          </w:tcPr>
          <w:p>
            <w:pPr>
              <w:spacing w:after="0" w:line="240" w:lineRule="auto"/>
            </w:pPr>
            <w:r>
              <w:rPr>
                <w:sz w:val="15"/>
              </w:rPr>
              <w:t>One example where an integration or requirement dependency risk was surfaced early; one release-readiness example; one stakeholder escalation.</w:t>
            </w:r>
          </w:p>
        </w:tc>
      </w:tr>
      <w:tr>
        <w:trPr>
          <w:cantSplit/>
        </w:trPr>
        <w:tc>
          <w:tcPr>
            <w:tcW w:type="dxa" w:w="1944"/>
            <w:tcMar>
              <w:top w:w="70" w:type="dxa"/>
              <w:start w:w="100" w:type="dxa"/>
              <w:bottom w:w="70" w:type="dxa"/>
              <w:end w:w="100" w:type="dxa"/>
            </w:tcMar>
            <w:vAlign w:val="top"/>
            <w:shd w:fill="F6F8FB"/>
          </w:tcPr>
          <w:p>
            <w:pPr>
              <w:spacing w:after="0" w:line="240" w:lineRule="auto"/>
            </w:pPr>
            <w:r>
              <w:rPr>
                <w:sz w:val="15"/>
              </w:rPr>
              <w:t>Agile Project Manager</w:t>
            </w:r>
          </w:p>
        </w:tc>
        <w:tc>
          <w:tcPr>
            <w:tcW w:type="dxa" w:w="2088"/>
            <w:tcMar>
              <w:top w:w="70" w:type="dxa"/>
              <w:start w:w="100" w:type="dxa"/>
              <w:bottom w:w="70" w:type="dxa"/>
              <w:end w:w="100" w:type="dxa"/>
            </w:tcMar>
            <w:vAlign w:val="top"/>
            <w:shd w:fill="F6F8FB"/>
          </w:tcPr>
          <w:p>
            <w:pPr>
              <w:spacing w:after="0" w:line="240" w:lineRule="auto"/>
            </w:pPr>
            <w:r>
              <w:rPr>
                <w:sz w:val="15"/>
              </w:rPr>
              <w:t>Agile Project Manager CV</w:t>
            </w:r>
          </w:p>
        </w:tc>
        <w:tc>
          <w:tcPr>
            <w:tcW w:type="dxa" w:w="3384"/>
            <w:tcMar>
              <w:top w:w="70" w:type="dxa"/>
              <w:start w:w="100" w:type="dxa"/>
              <w:bottom w:w="70" w:type="dxa"/>
              <w:end w:w="100" w:type="dxa"/>
            </w:tcMar>
            <w:vAlign w:val="top"/>
            <w:shd w:fill="F6F8FB"/>
          </w:tcPr>
          <w:p>
            <w:pPr>
              <w:spacing w:after="0" w:line="240" w:lineRule="auto"/>
            </w:pPr>
            <w:r>
              <w:rPr>
                <w:sz w:val="15"/>
              </w:rPr>
              <w:t>Scrum/Kanban facilitation, impediments, delivery metrics, team effectiveness, retrospectives, SAFe and stakeholder alignment.</w:t>
            </w:r>
          </w:p>
        </w:tc>
        <w:tc>
          <w:tcPr>
            <w:tcW w:type="dxa" w:w="3168"/>
            <w:tcMar>
              <w:top w:w="70" w:type="dxa"/>
              <w:start w:w="100" w:type="dxa"/>
              <w:bottom w:w="70" w:type="dxa"/>
              <w:end w:w="100" w:type="dxa"/>
            </w:tcMar>
            <w:vAlign w:val="top"/>
            <w:shd w:fill="F6F8FB"/>
          </w:tcPr>
          <w:p>
            <w:pPr>
              <w:spacing w:after="0" w:line="240" w:lineRule="auto"/>
            </w:pPr>
            <w:r>
              <w:rPr>
                <w:sz w:val="15"/>
              </w:rPr>
              <w:t>Scrum-to-Kanban transition: context, change approach, team concerns, metrics used, and what did/did not change.</w:t>
            </w:r>
          </w:p>
        </w:tc>
      </w:tr>
      <w:tr>
        <w:trPr>
          <w:cantSplit/>
        </w:trPr>
        <w:tc>
          <w:tcPr>
            <w:tcW w:type="dxa" w:w="1944"/>
            <w:tcMar>
              <w:top w:w="70" w:type="dxa"/>
              <w:start w:w="100" w:type="dxa"/>
              <w:bottom w:w="70" w:type="dxa"/>
              <w:end w:w="100" w:type="dxa"/>
            </w:tcMar>
            <w:vAlign w:val="top"/>
          </w:tcPr>
          <w:p>
            <w:pPr>
              <w:spacing w:after="0" w:line="240" w:lineRule="auto"/>
            </w:pPr>
            <w:r>
              <w:rPr>
                <w:sz w:val="15"/>
              </w:rPr>
              <w:t>Delivery Lead / Technical Delivery Lead</w:t>
            </w:r>
          </w:p>
        </w:tc>
        <w:tc>
          <w:tcPr>
            <w:tcW w:type="dxa" w:w="2088"/>
            <w:tcMar>
              <w:top w:w="70" w:type="dxa"/>
              <w:start w:w="100" w:type="dxa"/>
              <w:bottom w:w="70" w:type="dxa"/>
              <w:end w:w="100" w:type="dxa"/>
            </w:tcMar>
            <w:vAlign w:val="top"/>
          </w:tcPr>
          <w:p>
            <w:pPr>
              <w:spacing w:after="0" w:line="240" w:lineRule="auto"/>
            </w:pPr>
            <w:r>
              <w:rPr>
                <w:sz w:val="15"/>
              </w:rPr>
              <w:t>Delivery Lead CV</w:t>
            </w:r>
          </w:p>
        </w:tc>
        <w:tc>
          <w:tcPr>
            <w:tcW w:type="dxa" w:w="3384"/>
            <w:tcMar>
              <w:top w:w="70" w:type="dxa"/>
              <w:start w:w="100" w:type="dxa"/>
              <w:bottom w:w="70" w:type="dxa"/>
              <w:end w:w="100" w:type="dxa"/>
            </w:tcMar>
            <w:vAlign w:val="top"/>
          </w:tcPr>
          <w:p>
            <w:pPr>
              <w:spacing w:after="0" w:line="240" w:lineRule="auto"/>
            </w:pPr>
            <w:r>
              <w:rPr>
                <w:sz w:val="15"/>
              </w:rPr>
              <w:t>Concurrent team coordination, status/risk visibility, CAB/go-no-go/release playbooks, requirements/UAT, multi-time-zone collaboration.</w:t>
            </w:r>
          </w:p>
        </w:tc>
        <w:tc>
          <w:tcPr>
            <w:tcW w:type="dxa" w:w="3168"/>
            <w:tcMar>
              <w:top w:w="70" w:type="dxa"/>
              <w:start w:w="100" w:type="dxa"/>
              <w:bottom w:w="70" w:type="dxa"/>
              <w:end w:w="100" w:type="dxa"/>
            </w:tcMar>
            <w:vAlign w:val="top"/>
          </w:tcPr>
          <w:p>
            <w:pPr>
              <w:spacing w:after="0" w:line="240" w:lineRule="auto"/>
            </w:pPr>
            <w:r>
              <w:rPr>
                <w:sz w:val="15"/>
              </w:rPr>
              <w:t>Walk through a release playbook, approval/CAB flow, escalation path, dependency log, and how you coordinated support and engineering.</w:t>
            </w:r>
          </w:p>
        </w:tc>
      </w:tr>
    </w:tbl>
    <w:p>
      <w:pPr>
        <w:spacing w:after="0"/>
      </w:pPr>
    </w:p>
    <w:p>
      <w:r>
        <w:br w:type="page"/>
      </w:r>
    </w:p>
    <w:p>
      <w:pPr>
        <w:pStyle w:val="Heading1"/>
      </w:pPr>
      <w:r>
        <w:t>9. Quality assurance report</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shd w:fill="17365D"/>
            <w:tcMar>
              <w:top w:w="80" w:type="dxa"/>
              <w:start w:w="100" w:type="dxa"/>
              <w:bottom w:w="80" w:type="dxa"/>
              <w:end w:w="100" w:type="dxa"/>
            </w:tcMar>
            <w:vAlign w:val="center"/>
          </w:tcPr>
          <w:p>
            <w:pPr>
              <w:spacing w:after="0"/>
            </w:pPr>
            <w:r>
              <w:rPr>
                <w:b/>
                <w:color w:val="FFFFFF"/>
                <w:sz w:val="16"/>
              </w:rPr>
              <w:t>QA check</w:t>
            </w:r>
          </w:p>
        </w:tc>
        <w:tc>
          <w:tcPr>
            <w:tcW w:type="dxa" w:w="3389"/>
            <w:shd w:fill="17365D"/>
            <w:tcMar>
              <w:top w:w="80" w:type="dxa"/>
              <w:start w:w="100" w:type="dxa"/>
              <w:bottom w:w="80" w:type="dxa"/>
              <w:end w:w="100" w:type="dxa"/>
            </w:tcMar>
            <w:vAlign w:val="center"/>
          </w:tcPr>
          <w:p>
            <w:pPr>
              <w:spacing w:after="0"/>
            </w:pPr>
            <w:r>
              <w:rPr>
                <w:b/>
                <w:color w:val="FFFFFF"/>
                <w:sz w:val="16"/>
              </w:rPr>
              <w:t>Status</w:t>
            </w:r>
          </w:p>
        </w:tc>
        <w:tc>
          <w:tcPr>
            <w:tcW w:type="dxa" w:w="3389"/>
            <w:shd w:fill="17365D"/>
            <w:tcMar>
              <w:top w:w="80" w:type="dxa"/>
              <w:start w:w="100" w:type="dxa"/>
              <w:bottom w:w="80" w:type="dxa"/>
              <w:end w:w="100" w:type="dxa"/>
            </w:tcMar>
            <w:vAlign w:val="center"/>
          </w:tcPr>
          <w:p>
            <w:pPr>
              <w:spacing w:after="0"/>
            </w:pPr>
            <w:r>
              <w:rPr>
                <w:b/>
                <w:color w:val="FFFFFF"/>
                <w:sz w:val="16"/>
              </w:rPr>
              <w:t>Result</w:t>
            </w:r>
          </w:p>
        </w:tc>
      </w:tr>
      <w:tr>
        <w:trPr>
          <w:cantSplit/>
        </w:trPr>
        <w:tc>
          <w:tcPr>
            <w:tcW w:type="dxa" w:w="2376"/>
            <w:tcMar>
              <w:top w:w="70" w:type="dxa"/>
              <w:start w:w="100" w:type="dxa"/>
              <w:bottom w:w="70" w:type="dxa"/>
              <w:end w:w="100" w:type="dxa"/>
            </w:tcMar>
            <w:vAlign w:val="top"/>
          </w:tcPr>
          <w:p>
            <w:pPr>
              <w:spacing w:after="0" w:line="240" w:lineRule="auto"/>
            </w:pPr>
            <w:r>
              <w:rPr>
                <w:sz w:val="16"/>
              </w:rPr>
              <w:t>Employment chronology</w:t>
            </w:r>
          </w:p>
        </w:tc>
        <w:tc>
          <w:tcPr>
            <w:tcW w:type="dxa" w:w="1800"/>
            <w:tcMar>
              <w:top w:w="70" w:type="dxa"/>
              <w:start w:w="100" w:type="dxa"/>
              <w:bottom w:w="70" w:type="dxa"/>
              <w:end w:w="100" w:type="dxa"/>
            </w:tcMar>
            <w:vAlign w:val="top"/>
          </w:tcPr>
          <w:p>
            <w:pPr>
              <w:spacing w:after="0" w:line="240" w:lineRule="auto"/>
            </w:pPr>
            <w:r>
              <w:rPr>
                <w:sz w:val="16"/>
              </w:rPr>
              <w:t>PASS</w:t>
            </w:r>
          </w:p>
        </w:tc>
        <w:tc>
          <w:tcPr>
            <w:tcW w:type="dxa" w:w="6480"/>
            <w:tcMar>
              <w:top w:w="70" w:type="dxa"/>
              <w:start w:w="100" w:type="dxa"/>
              <w:bottom w:w="70" w:type="dxa"/>
              <w:end w:w="100" w:type="dxa"/>
            </w:tcMar>
            <w:vAlign w:val="top"/>
          </w:tcPr>
          <w:p>
            <w:pPr>
              <w:spacing w:after="0" w:line="240" w:lineRule="auto"/>
            </w:pPr>
            <w:r>
              <w:rPr>
                <w:sz w:val="16"/>
              </w:rPr>
              <w:t>Uses user-confirmed titles/dates and discloses the 16 Feb 2024 employer transition.</w:t>
            </w:r>
          </w:p>
        </w:tc>
      </w:tr>
      <w:tr>
        <w:trPr>
          <w:cantSplit/>
        </w:trPr>
        <w:tc>
          <w:tcPr>
            <w:tcW w:type="dxa" w:w="2376"/>
            <w:tcMar>
              <w:top w:w="70" w:type="dxa"/>
              <w:start w:w="100" w:type="dxa"/>
              <w:bottom w:w="70" w:type="dxa"/>
              <w:end w:w="100" w:type="dxa"/>
            </w:tcMar>
            <w:vAlign w:val="top"/>
            <w:shd w:fill="F6F8FB"/>
          </w:tcPr>
          <w:p>
            <w:pPr>
              <w:spacing w:after="0" w:line="240" w:lineRule="auto"/>
            </w:pPr>
            <w:r>
              <w:rPr>
                <w:sz w:val="16"/>
              </w:rPr>
              <w:t>Experience duration</w:t>
            </w:r>
          </w:p>
        </w:tc>
        <w:tc>
          <w:tcPr>
            <w:tcW w:type="dxa" w:w="1800"/>
            <w:tcMar>
              <w:top w:w="70" w:type="dxa"/>
              <w:start w:w="100" w:type="dxa"/>
              <w:bottom w:w="70" w:type="dxa"/>
              <w:end w:w="100" w:type="dxa"/>
            </w:tcMar>
            <w:vAlign w:val="top"/>
            <w:shd w:fill="F6F8FB"/>
          </w:tcPr>
          <w:p>
            <w:pPr>
              <w:spacing w:after="0" w:line="240" w:lineRule="auto"/>
            </w:pPr>
            <w:r>
              <w:rPr>
                <w:sz w:val="16"/>
              </w:rPr>
              <w:t>PASS</w:t>
            </w:r>
          </w:p>
        </w:tc>
        <w:tc>
          <w:tcPr>
            <w:tcW w:type="dxa" w:w="6480"/>
            <w:tcMar>
              <w:top w:w="70" w:type="dxa"/>
              <w:start w:w="100" w:type="dxa"/>
              <w:bottom w:w="70" w:type="dxa"/>
              <w:end w:w="100" w:type="dxa"/>
            </w:tcMar>
            <w:vAlign w:val="top"/>
            <w:shd w:fill="F6F8FB"/>
          </w:tcPr>
          <w:p>
            <w:pPr>
              <w:spacing w:after="0" w:line="240" w:lineRule="auto"/>
            </w:pPr>
            <w:r>
              <w:rPr>
                <w:sz w:val="16"/>
              </w:rPr>
              <w:t>Separates 10+ years across technology career from nearly five years in project-management roles.</w:t>
            </w:r>
          </w:p>
        </w:tc>
      </w:tr>
      <w:tr>
        <w:trPr>
          <w:cantSplit/>
        </w:trPr>
        <w:tc>
          <w:tcPr>
            <w:tcW w:type="dxa" w:w="2376"/>
            <w:tcMar>
              <w:top w:w="70" w:type="dxa"/>
              <w:start w:w="100" w:type="dxa"/>
              <w:bottom w:w="70" w:type="dxa"/>
              <w:end w:w="100" w:type="dxa"/>
            </w:tcMar>
            <w:vAlign w:val="top"/>
          </w:tcPr>
          <w:p>
            <w:pPr>
              <w:spacing w:after="0" w:line="240" w:lineRule="auto"/>
            </w:pPr>
            <w:r>
              <w:rPr>
                <w:sz w:val="16"/>
              </w:rPr>
              <w:t>Promotions claim</w:t>
            </w:r>
          </w:p>
        </w:tc>
        <w:tc>
          <w:tcPr>
            <w:tcW w:type="dxa" w:w="1800"/>
            <w:tcMar>
              <w:top w:w="70" w:type="dxa"/>
              <w:start w:w="100" w:type="dxa"/>
              <w:bottom w:w="70" w:type="dxa"/>
              <w:end w:w="100" w:type="dxa"/>
            </w:tcMar>
            <w:vAlign w:val="top"/>
          </w:tcPr>
          <w:p>
            <w:pPr>
              <w:spacing w:after="0" w:line="240" w:lineRule="auto"/>
            </w:pPr>
            <w:r>
              <w:rPr>
                <w:sz w:val="16"/>
              </w:rPr>
              <w:t>PASS</w:t>
            </w:r>
          </w:p>
        </w:tc>
        <w:tc>
          <w:tcPr>
            <w:tcW w:type="dxa" w:w="6480"/>
            <w:tcMar>
              <w:top w:w="70" w:type="dxa"/>
              <w:start w:w="100" w:type="dxa"/>
              <w:bottom w:w="70" w:type="dxa"/>
              <w:end w:w="100" w:type="dxa"/>
            </w:tcMar>
            <w:vAlign w:val="top"/>
          </w:tcPr>
          <w:p>
            <w:pPr>
              <w:spacing w:after="0" w:line="240" w:lineRule="auto"/>
            </w:pPr>
            <w:r>
              <w:rPr>
                <w:sz w:val="16"/>
              </w:rPr>
              <w:t>Role sequence is shown; unsupported “in under three years” wording removed.</w:t>
            </w:r>
          </w:p>
        </w:tc>
      </w:tr>
      <w:tr>
        <w:trPr>
          <w:cantSplit/>
        </w:trPr>
        <w:tc>
          <w:tcPr>
            <w:tcW w:type="dxa" w:w="2376"/>
            <w:tcMar>
              <w:top w:w="70" w:type="dxa"/>
              <w:start w:w="100" w:type="dxa"/>
              <w:bottom w:w="70" w:type="dxa"/>
              <w:end w:w="100" w:type="dxa"/>
            </w:tcMar>
            <w:vAlign w:val="top"/>
            <w:shd w:fill="F6F8FB"/>
          </w:tcPr>
          <w:p>
            <w:pPr>
              <w:spacing w:after="0" w:line="240" w:lineRule="auto"/>
            </w:pPr>
            <w:r>
              <w:rPr>
                <w:sz w:val="16"/>
              </w:rPr>
              <w:t>100+ releases</w:t>
            </w:r>
          </w:p>
        </w:tc>
        <w:tc>
          <w:tcPr>
            <w:tcW w:type="dxa" w:w="1800"/>
            <w:tcMar>
              <w:top w:w="70" w:type="dxa"/>
              <w:start w:w="100" w:type="dxa"/>
              <w:bottom w:w="70" w:type="dxa"/>
              <w:end w:w="100" w:type="dxa"/>
            </w:tcMar>
            <w:vAlign w:val="top"/>
            <w:shd w:fill="F6F8FB"/>
          </w:tcPr>
          <w:p>
            <w:pPr>
              <w:spacing w:after="0" w:line="240" w:lineRule="auto"/>
            </w:pPr>
            <w:r>
              <w:rPr>
                <w:sz w:val="16"/>
              </w:rPr>
              <w:t>PASS</w:t>
            </w:r>
          </w:p>
        </w:tc>
        <w:tc>
          <w:tcPr>
            <w:tcW w:type="dxa" w:w="6480"/>
            <w:tcMar>
              <w:top w:w="70" w:type="dxa"/>
              <w:start w:w="100" w:type="dxa"/>
              <w:bottom w:w="70" w:type="dxa"/>
              <w:end w:w="100" w:type="dxa"/>
            </w:tcMar>
            <w:vAlign w:val="top"/>
            <w:shd w:fill="F6F8FB"/>
          </w:tcPr>
          <w:p>
            <w:pPr>
              <w:spacing w:after="0" w:line="240" w:lineRule="auto"/>
            </w:pPr>
            <w:r>
              <w:rPr>
                <w:sz w:val="16"/>
              </w:rPr>
              <w:t>Included only once within experience and described as release coordination rather than as headline identity.</w:t>
            </w:r>
          </w:p>
        </w:tc>
      </w:tr>
      <w:tr>
        <w:trPr>
          <w:cantSplit/>
        </w:trPr>
        <w:tc>
          <w:tcPr>
            <w:tcW w:type="dxa" w:w="2376"/>
            <w:tcMar>
              <w:top w:w="70" w:type="dxa"/>
              <w:start w:w="100" w:type="dxa"/>
              <w:bottom w:w="70" w:type="dxa"/>
              <w:end w:w="100" w:type="dxa"/>
            </w:tcMar>
            <w:vAlign w:val="top"/>
          </w:tcPr>
          <w:p>
            <w:pPr>
              <w:spacing w:after="0" w:line="240" w:lineRule="auto"/>
            </w:pPr>
            <w:r>
              <w:rPr>
                <w:sz w:val="16"/>
              </w:rPr>
              <w:t>Training metric</w:t>
            </w:r>
          </w:p>
        </w:tc>
        <w:tc>
          <w:tcPr>
            <w:tcW w:type="dxa" w:w="1800"/>
            <w:tcMar>
              <w:top w:w="70" w:type="dxa"/>
              <w:start w:w="100" w:type="dxa"/>
              <w:bottom w:w="70" w:type="dxa"/>
              <w:end w:w="100" w:type="dxa"/>
            </w:tcMar>
            <w:vAlign w:val="top"/>
          </w:tcPr>
          <w:p>
            <w:pPr>
              <w:spacing w:after="0" w:line="240" w:lineRule="auto"/>
            </w:pPr>
            <w:r>
              <w:rPr>
                <w:sz w:val="16"/>
              </w:rPr>
              <w:t>CAVEAT</w:t>
            </w:r>
          </w:p>
        </w:tc>
        <w:tc>
          <w:tcPr>
            <w:tcW w:type="dxa" w:w="6480"/>
            <w:tcMar>
              <w:top w:w="70" w:type="dxa"/>
              <w:start w:w="100" w:type="dxa"/>
              <w:bottom w:w="70" w:type="dxa"/>
              <w:end w:w="100" w:type="dxa"/>
            </w:tcMar>
            <w:vAlign w:val="top"/>
          </w:tcPr>
          <w:p>
            <w:pPr>
              <w:spacing w:after="0" w:line="240" w:lineRule="auto"/>
            </w:pPr>
            <w:r>
              <w:rPr>
                <w:sz w:val="16"/>
              </w:rPr>
              <w:t>Numerical training claim omitted because the follow-up wording was ambiguous.</w:t>
            </w:r>
          </w:p>
        </w:tc>
      </w:tr>
      <w:tr>
        <w:trPr>
          <w:cantSplit/>
        </w:trPr>
        <w:tc>
          <w:tcPr>
            <w:tcW w:type="dxa" w:w="2376"/>
            <w:tcMar>
              <w:top w:w="70" w:type="dxa"/>
              <w:start w:w="100" w:type="dxa"/>
              <w:bottom w:w="70" w:type="dxa"/>
              <w:end w:w="100" w:type="dxa"/>
            </w:tcMar>
            <w:vAlign w:val="top"/>
            <w:shd w:fill="F6F8FB"/>
          </w:tcPr>
          <w:p>
            <w:pPr>
              <w:spacing w:after="0" w:line="240" w:lineRule="auto"/>
            </w:pPr>
            <w:r>
              <w:rPr>
                <w:sz w:val="16"/>
              </w:rPr>
              <w:t>Credentials</w:t>
            </w:r>
          </w:p>
        </w:tc>
        <w:tc>
          <w:tcPr>
            <w:tcW w:type="dxa" w:w="1800"/>
            <w:tcMar>
              <w:top w:w="70" w:type="dxa"/>
              <w:start w:w="100" w:type="dxa"/>
              <w:bottom w:w="70" w:type="dxa"/>
              <w:end w:w="100" w:type="dxa"/>
            </w:tcMar>
            <w:vAlign w:val="top"/>
            <w:shd w:fill="F6F8FB"/>
          </w:tcPr>
          <w:p>
            <w:pPr>
              <w:spacing w:after="0" w:line="240" w:lineRule="auto"/>
            </w:pPr>
            <w:r>
              <w:rPr>
                <w:sz w:val="16"/>
              </w:rPr>
              <w:t>CAVEAT</w:t>
            </w:r>
          </w:p>
        </w:tc>
        <w:tc>
          <w:tcPr>
            <w:tcW w:type="dxa" w:w="6480"/>
            <w:tcMar>
              <w:top w:w="70" w:type="dxa"/>
              <w:start w:w="100" w:type="dxa"/>
              <w:bottom w:w="70" w:type="dxa"/>
              <w:end w:w="100" w:type="dxa"/>
            </w:tcMar>
            <w:vAlign w:val="top"/>
            <w:shd w:fill="F6F8FB"/>
          </w:tcPr>
          <w:p>
            <w:pPr>
              <w:spacing w:after="0" w:line="240" w:lineRule="auto"/>
            </w:pPr>
            <w:r>
              <w:rPr>
                <w:sz w:val="16"/>
              </w:rPr>
              <w:t>Four named SAFe 6 badges listed; exact issue/renewal dates and active status not independently established.</w:t>
            </w:r>
          </w:p>
        </w:tc>
      </w:tr>
      <w:tr>
        <w:trPr>
          <w:cantSplit/>
        </w:trPr>
        <w:tc>
          <w:tcPr>
            <w:tcW w:type="dxa" w:w="2376"/>
            <w:tcMar>
              <w:top w:w="70" w:type="dxa"/>
              <w:start w:w="100" w:type="dxa"/>
              <w:bottom w:w="70" w:type="dxa"/>
              <w:end w:w="100" w:type="dxa"/>
            </w:tcMar>
            <w:vAlign w:val="top"/>
          </w:tcPr>
          <w:p>
            <w:pPr>
              <w:spacing w:after="0" w:line="240" w:lineRule="auto"/>
            </w:pPr>
            <w:r>
              <w:rPr>
                <w:sz w:val="16"/>
              </w:rPr>
              <w:t>Unsupported ownership</w:t>
            </w:r>
          </w:p>
        </w:tc>
        <w:tc>
          <w:tcPr>
            <w:tcW w:type="dxa" w:w="1800"/>
            <w:tcMar>
              <w:top w:w="70" w:type="dxa"/>
              <w:start w:w="100" w:type="dxa"/>
              <w:bottom w:w="70" w:type="dxa"/>
              <w:end w:w="100" w:type="dxa"/>
            </w:tcMar>
            <w:vAlign w:val="top"/>
          </w:tcPr>
          <w:p>
            <w:pPr>
              <w:spacing w:after="0" w:line="240" w:lineRule="auto"/>
            </w:pPr>
            <w:r>
              <w:rPr>
                <w:sz w:val="16"/>
              </w:rPr>
              <w:t>PASS</w:t>
            </w:r>
          </w:p>
        </w:tc>
        <w:tc>
          <w:tcPr>
            <w:tcW w:type="dxa" w:w="6480"/>
            <w:tcMar>
              <w:top w:w="70" w:type="dxa"/>
              <w:start w:w="100" w:type="dxa"/>
              <w:bottom w:w="70" w:type="dxa"/>
              <w:end w:w="100" w:type="dxa"/>
            </w:tcMar>
            <w:vAlign w:val="top"/>
          </w:tcPr>
          <w:p>
            <w:pPr>
              <w:spacing w:after="0" w:line="240" w:lineRule="auto"/>
            </w:pPr>
            <w:r>
              <w:rPr>
                <w:sz w:val="16"/>
              </w:rPr>
              <w:t>No invented budgets, vendor-management, architecture, portfolio, direct-report, or AI/Cloud delivery claims.</w:t>
            </w:r>
          </w:p>
        </w:tc>
      </w:tr>
      <w:tr>
        <w:trPr>
          <w:cantSplit/>
        </w:trPr>
        <w:tc>
          <w:tcPr>
            <w:tcW w:type="dxa" w:w="2376"/>
            <w:tcMar>
              <w:top w:w="70" w:type="dxa"/>
              <w:start w:w="100" w:type="dxa"/>
              <w:bottom w:w="70" w:type="dxa"/>
              <w:end w:w="100" w:type="dxa"/>
            </w:tcMar>
            <w:vAlign w:val="top"/>
            <w:shd w:fill="F6F8FB"/>
          </w:tcPr>
          <w:p>
            <w:pPr>
              <w:spacing w:after="0" w:line="240" w:lineRule="auto"/>
            </w:pPr>
            <w:r>
              <w:rPr>
                <w:sz w:val="16"/>
              </w:rPr>
              <w:t>ATS design</w:t>
            </w:r>
          </w:p>
        </w:tc>
        <w:tc>
          <w:tcPr>
            <w:tcW w:type="dxa" w:w="1800"/>
            <w:tcMar>
              <w:top w:w="70" w:type="dxa"/>
              <w:start w:w="100" w:type="dxa"/>
              <w:bottom w:w="70" w:type="dxa"/>
              <w:end w:w="100" w:type="dxa"/>
            </w:tcMar>
            <w:vAlign w:val="top"/>
            <w:shd w:fill="F6F8FB"/>
          </w:tcPr>
          <w:p>
            <w:pPr>
              <w:spacing w:after="0" w:line="240" w:lineRule="auto"/>
            </w:pPr>
            <w:r>
              <w:rPr>
                <w:sz w:val="16"/>
              </w:rPr>
              <w:t>PASS BY DESIGN</w:t>
            </w:r>
          </w:p>
        </w:tc>
        <w:tc>
          <w:tcPr>
            <w:tcW w:type="dxa" w:w="6480"/>
            <w:tcMar>
              <w:top w:w="70" w:type="dxa"/>
              <w:start w:w="100" w:type="dxa"/>
              <w:bottom w:w="70" w:type="dxa"/>
              <w:end w:w="100" w:type="dxa"/>
            </w:tcMar>
            <w:vAlign w:val="top"/>
            <w:shd w:fill="F6F8FB"/>
          </w:tcPr>
          <w:p>
            <w:pPr>
              <w:spacing w:after="0" w:line="240" w:lineRule="auto"/>
            </w:pPr>
            <w:r>
              <w:rPr>
                <w:sz w:val="16"/>
              </w:rPr>
              <w:t>CVs use single-column flow, conventional headings, plain text contacts, no tables/graphics/skill bars.</w:t>
            </w:r>
          </w:p>
        </w:tc>
      </w:tr>
      <w:tr>
        <w:trPr>
          <w:cantSplit/>
        </w:trPr>
        <w:tc>
          <w:tcPr>
            <w:tcW w:type="dxa" w:w="2376"/>
            <w:tcMar>
              <w:top w:w="70" w:type="dxa"/>
              <w:start w:w="100" w:type="dxa"/>
              <w:bottom w:w="70" w:type="dxa"/>
              <w:end w:w="100" w:type="dxa"/>
            </w:tcMar>
            <w:vAlign w:val="top"/>
          </w:tcPr>
          <w:p>
            <w:pPr>
              <w:spacing w:after="0" w:line="240" w:lineRule="auto"/>
            </w:pPr>
            <w:r>
              <w:rPr>
                <w:sz w:val="16"/>
              </w:rPr>
              <w:t>PDF quality</w:t>
            </w:r>
          </w:p>
        </w:tc>
        <w:tc>
          <w:tcPr>
            <w:tcW w:type="dxa" w:w="1800"/>
            <w:tcMar>
              <w:top w:w="70" w:type="dxa"/>
              <w:start w:w="100" w:type="dxa"/>
              <w:bottom w:w="70" w:type="dxa"/>
              <w:end w:w="100" w:type="dxa"/>
            </w:tcMar>
            <w:vAlign w:val="top"/>
          </w:tcPr>
          <w:p>
            <w:pPr>
              <w:spacing w:after="0" w:line="240" w:lineRule="auto"/>
            </w:pPr>
            <w:r>
              <w:rPr>
                <w:sz w:val="16"/>
              </w:rPr>
              <w:t>PASS</w:t>
            </w:r>
          </w:p>
        </w:tc>
        <w:tc>
          <w:tcPr>
            <w:tcW w:type="dxa" w:w="6480"/>
            <w:tcMar>
              <w:top w:w="70" w:type="dxa"/>
              <w:start w:w="100" w:type="dxa"/>
              <w:bottom w:w="70" w:type="dxa"/>
              <w:end w:w="100" w:type="dxa"/>
            </w:tcMar>
            <w:vAlign w:val="top"/>
          </w:tcPr>
          <w:p>
            <w:pPr>
              <w:spacing w:after="0" w:line="240" w:lineRule="auto"/>
            </w:pPr>
            <w:r>
              <w:rPr>
                <w:sz w:val="16"/>
              </w:rPr>
              <w:t>All documents rendered to PDF; page images reviewed for clipping/overlap and text extraction checks completed.</w:t>
            </w:r>
          </w:p>
        </w:tc>
      </w:tr>
    </w:tbl>
    <w:p>
      <w:pPr>
        <w:spacing w:after="0"/>
      </w:pPr>
    </w:p>
    <w:p>
      <w:pPr>
        <w:pStyle w:val="Heading1"/>
      </w:pPr>
      <w:r>
        <w:t>10. External source register</w:t>
      </w:r>
    </w:p>
    <w:p>
      <w:pPr>
        <w:keepLines/>
        <w:spacing w:after="60"/>
      </w:pPr>
      <w:r>
        <w:rPr>
          <w:i w:val="0"/>
          <w:sz w:val="16"/>
        </w:rPr>
        <w:t>[1] Tudoholic / Nexora Commerce, “Project Manager — ERP &amp; Integrations,” employer career page checked 17 Oct 2026 (application form visible; Nepal/India stated). Third-party mirror marks 11 Oct 2026 deadline expired, so current status requires direct confirmation. https://tudoholic.com/apps/careers/project-manager-erp-integrations | https://nepalijob.com/job/62283/project-manager-erp-integrations-in-kathmandu</w:t>
      </w:r>
    </w:p>
    <w:p>
      <w:pPr>
        <w:keepLines/>
        <w:spacing w:after="60"/>
      </w:pPr>
      <w:r>
        <w:rPr>
          <w:i w:val="0"/>
          <w:sz w:val="16"/>
        </w:rPr>
        <w:t>[2] OmnicomMediaGroup Nepal, “Software Delivery Lead,” Jobiglo page shown as published about three weeks ago and expiring in about a month on 17 Oct 2026; cross-check the original LinkedIn listing and employer before applying. https://np.jobiglo.com/emploi-software-delivery-lead-j-6ab4bc6b8055b4c45603ae85 | https://www.linkedin.com/jobs/view/4468509668</w:t>
      </w:r>
    </w:p>
    <w:p>
      <w:pPr>
        <w:keepLines/>
        <w:spacing w:after="60"/>
      </w:pPr>
      <w:r>
        <w:rPr>
          <w:i w:val="0"/>
          <w:sz w:val="16"/>
        </w:rPr>
        <w:t>[3] Mutual of Omaha, “I/S Agile Project Manager I,” official employer page, Job No. 505300, checked 17 Oct 2026; open until filled, no sponsorship, periodic in-person attendance; location eligibility for Nepal not confirmed. https://www.mutualofomaha.com/careers/jobs/detail/505300</w:t>
      </w:r>
    </w:p>
    <w:p>
      <w:pPr>
        <w:keepLines/>
        <w:spacing w:after="60"/>
      </w:pPr>
      <w:r>
        <w:rPr>
          <w:i w:val="0"/>
          <w:sz w:val="16"/>
        </w:rPr>
        <w:t>[4] Atut Gorkhali, personal website and career/portfolio/credential sections, checked 17 Oct 2026. https://atutgorkhali.com.np/</w:t>
      </w:r>
    </w:p>
    <w:p>
      <w:pPr>
        <w:keepLines/>
        <w:spacing w:after="60"/>
      </w:pPr>
      <w:r>
        <w:rPr>
          <w:i w:val="0"/>
          <w:sz w:val="16"/>
        </w:rPr>
        <w:t>[5] Codavatar Tech, Technical Project Manager, and Sojo Data, Technical Project Manager (mid-level), reviewed as market context; the reviewed examples emphasize SDLC, Agile, planning, risk, stakeholder communication, and tool familiarity. Availability status was not treated as current. https://np.linkedin.com/jobs/view/technical-project-manager-at-codavatar-tech-pvt-ltd-4430383003 | https://np.linkedin.com/jobs/view/technical-project-manager-mid-level-at-sojo-data-4455677379</w:t>
      </w:r>
    </w:p>
    <w:sectPr w:rsidR="00FC693F" w:rsidRPr="0006063C" w:rsidSect="00034616">
      <w:footerReference w:type="default" r:id="rId9"/>
      <w:pgSz w:w="12240" w:h="15840"/>
      <w:pgMar w:top="936"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color w:val="777777"/>
        <w:sz w:val="14"/>
      </w:rPr>
      <w:t xml:space="preserve">ATUT GORKHALI  |  CONFIDENTIAL CAREER DOCUMENT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eastAsia="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eastAsia="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eastAsia="Arial"/>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rial" w:hAnsi="Arial" w:eastAsia="Arial"/>
      <w:b/>
      <w:bCs/>
      <w:color w:val="17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Atut Gorkhali Career Audit and Job Alignment Report</dc:title>
  <dc:subject/>
  <dc:creator>Atut Gorkhali</dc:creator>
  <cp:keywords/>
  <dc:description>generated by python-docx</dc:description>
  <cp:lastModifiedBy/>
  <cp:revision>1</cp:revision>
  <dcterms:created xsi:type="dcterms:W3CDTF">2013-12-23T23:15:00Z</dcterms:created>
  <dcterms:modified xsi:type="dcterms:W3CDTF">2013-12-23T23:15:00Z</dcterms:modified>
  <cp:category/>
</cp:coreProperties>
</file>